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9" w:rsidRDefault="007B79B9" w:rsidP="007B79B9">
      <w:pPr>
        <w:shd w:val="clear" w:color="auto" w:fill="FFFFFF"/>
        <w:ind w:right="192"/>
        <w:jc w:val="center"/>
        <w:rPr>
          <w:b/>
          <w:bCs/>
          <w:iCs/>
          <w:color w:val="000000"/>
          <w:spacing w:val="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DAAB4" wp14:editId="643A6FB0">
            <wp:simplePos x="0" y="0"/>
            <wp:positionH relativeFrom="column">
              <wp:posOffset>-23495</wp:posOffset>
            </wp:positionH>
            <wp:positionV relativeFrom="paragraph">
              <wp:posOffset>-53975</wp:posOffset>
            </wp:positionV>
            <wp:extent cx="7340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301" y="21113"/>
                <wp:lineTo x="21301" y="0"/>
                <wp:lineTo x="0" y="0"/>
              </wp:wrapPolygon>
            </wp:wrapTight>
            <wp:docPr id="1" name="Рисунок 1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color w:val="000000"/>
          <w:spacing w:val="2"/>
          <w:sz w:val="32"/>
          <w:szCs w:val="32"/>
        </w:rPr>
        <w:t>Общество с ограни</w:t>
      </w:r>
      <w:bookmarkStart w:id="0" w:name="_GoBack"/>
      <w:r>
        <w:rPr>
          <w:b/>
          <w:bCs/>
          <w:iCs/>
          <w:color w:val="000000"/>
          <w:spacing w:val="2"/>
          <w:sz w:val="32"/>
          <w:szCs w:val="32"/>
        </w:rPr>
        <w:t>ченной ответственностью</w:t>
      </w:r>
    </w:p>
    <w:p w:rsidR="007B79B9" w:rsidRDefault="007B79B9" w:rsidP="007B79B9">
      <w:pPr>
        <w:shd w:val="clear" w:color="auto" w:fill="FFFFFF"/>
        <w:ind w:left="-31" w:right="192"/>
        <w:jc w:val="center"/>
        <w:rPr>
          <w:b/>
          <w:bCs/>
          <w:iCs/>
          <w:color w:val="000000"/>
          <w:spacing w:val="2"/>
          <w:sz w:val="28"/>
          <w:szCs w:val="28"/>
        </w:rPr>
      </w:pPr>
      <w:r>
        <w:rPr>
          <w:b/>
          <w:bCs/>
          <w:iCs/>
          <w:color w:val="000000"/>
          <w:spacing w:val="2"/>
          <w:sz w:val="32"/>
          <w:szCs w:val="32"/>
        </w:rPr>
        <w:t>«Проектно-планировочная мастерская «Мастер-План»</w:t>
      </w:r>
    </w:p>
    <w:p w:rsidR="007B79B9" w:rsidRDefault="007B79B9" w:rsidP="007B79B9">
      <w:pPr>
        <w:tabs>
          <w:tab w:val="left" w:pos="7619"/>
        </w:tabs>
        <w:ind w:left="851"/>
        <w:jc w:val="center"/>
        <w:rPr>
          <w:b/>
          <w:sz w:val="28"/>
          <w:szCs w:val="28"/>
        </w:rPr>
      </w:pPr>
    </w:p>
    <w:p w:rsidR="007B79B9" w:rsidRDefault="007B79B9" w:rsidP="007B79B9">
      <w:pPr>
        <w:tabs>
          <w:tab w:val="left" w:pos="7619"/>
        </w:tabs>
        <w:ind w:left="851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3"/>
      </w:tblGrid>
      <w:tr w:rsidR="007B79B9" w:rsidTr="007B79B9">
        <w:tc>
          <w:tcPr>
            <w:tcW w:w="10207" w:type="dxa"/>
            <w:hideMark/>
          </w:tcPr>
          <w:p w:rsidR="007B79B9" w:rsidRDefault="007B79B9">
            <w:pPr>
              <w:ind w:left="9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Свидетельство № 0049.4-2016-1073808024850-П-52 от 08.04.2016 г.</w:t>
            </w:r>
          </w:p>
        </w:tc>
      </w:tr>
      <w:tr w:rsidR="007B79B9" w:rsidTr="007B79B9">
        <w:tc>
          <w:tcPr>
            <w:tcW w:w="10207" w:type="dxa"/>
          </w:tcPr>
          <w:p w:rsidR="007B79B9" w:rsidRDefault="007B79B9">
            <w:pPr>
              <w:ind w:left="90"/>
              <w:jc w:val="center"/>
              <w:rPr>
                <w:sz w:val="28"/>
                <w:szCs w:val="28"/>
              </w:rPr>
            </w:pPr>
          </w:p>
          <w:p w:rsidR="007B79B9" w:rsidRDefault="007B79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9B9" w:rsidRDefault="007B79B9" w:rsidP="007B79B9">
      <w:pPr>
        <w:jc w:val="center"/>
        <w:rPr>
          <w:sz w:val="28"/>
          <w:szCs w:val="28"/>
        </w:rPr>
      </w:pPr>
    </w:p>
    <w:p w:rsidR="007B79B9" w:rsidRDefault="007B79B9" w:rsidP="007B79B9">
      <w:pPr>
        <w:ind w:left="90"/>
        <w:jc w:val="center"/>
        <w:rPr>
          <w:sz w:val="28"/>
          <w:szCs w:val="28"/>
        </w:rPr>
      </w:pPr>
    </w:p>
    <w:p w:rsidR="007B79B9" w:rsidRDefault="007B79B9" w:rsidP="007B79B9">
      <w:pPr>
        <w:ind w:left="90"/>
        <w:jc w:val="center"/>
        <w:rPr>
          <w:sz w:val="28"/>
          <w:szCs w:val="28"/>
        </w:rPr>
      </w:pPr>
    </w:p>
    <w:p w:rsidR="007B79B9" w:rsidRDefault="007B79B9" w:rsidP="007B79B9">
      <w:pPr>
        <w:ind w:left="9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6"/>
        <w:gridCol w:w="9617"/>
        <w:gridCol w:w="240"/>
      </w:tblGrid>
      <w:tr w:rsidR="007B79B9" w:rsidTr="007B79B9">
        <w:tc>
          <w:tcPr>
            <w:tcW w:w="10207" w:type="dxa"/>
            <w:gridSpan w:val="3"/>
          </w:tcPr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МЕСТНЫЕ НОРМАТИВЫ </w:t>
            </w:r>
            <w:proofErr w:type="gramStart"/>
            <w:r>
              <w:rPr>
                <w:b/>
                <w:sz w:val="32"/>
                <w:szCs w:val="36"/>
              </w:rPr>
              <w:t>ГРАДОСТРОИТЕЛЬНОГО</w:t>
            </w:r>
            <w:proofErr w:type="gramEnd"/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ПРОЕКТИРОВАНИЯ ГОЛУМЕТСКОГО МУНИЦИПАЛЬНОГО</w:t>
            </w:r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ОБРАЗОВАНИЯ ЧЕРЕМХОВСКОГО РАЙОНА</w:t>
            </w:r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ИРКУТСКОЙ ОБЛАСТИ</w:t>
            </w:r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7B79B9" w:rsidTr="007B79B9">
        <w:trPr>
          <w:gridBefore w:val="1"/>
          <w:gridAfter w:val="1"/>
          <w:wBefore w:w="318" w:type="dxa"/>
          <w:wAfter w:w="241" w:type="dxa"/>
          <w:trHeight w:val="1242"/>
        </w:trPr>
        <w:tc>
          <w:tcPr>
            <w:tcW w:w="9648" w:type="dxa"/>
            <w:vAlign w:val="center"/>
          </w:tcPr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ОСНОВНАЯ ЧАСТЬ</w:t>
            </w:r>
          </w:p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7B79B9" w:rsidRDefault="007B79B9">
            <w:pPr>
              <w:ind w:left="567"/>
              <w:jc w:val="center"/>
              <w:rPr>
                <w:b/>
                <w:bCs/>
                <w:i/>
                <w:sz w:val="36"/>
              </w:rPr>
            </w:pPr>
          </w:p>
          <w:p w:rsidR="007B79B9" w:rsidRDefault="007B79B9">
            <w:pPr>
              <w:ind w:left="567"/>
              <w:jc w:val="center"/>
              <w:rPr>
                <w:b/>
                <w:bCs/>
                <w:i/>
                <w:sz w:val="36"/>
              </w:rPr>
            </w:pPr>
          </w:p>
        </w:tc>
      </w:tr>
    </w:tbl>
    <w:p w:rsidR="007B79B9" w:rsidRDefault="007B79B9" w:rsidP="007B79B9">
      <w:pPr>
        <w:jc w:val="center"/>
        <w:rPr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32"/>
        </w:rPr>
      </w:pPr>
      <w:r>
        <w:rPr>
          <w:b/>
          <w:sz w:val="32"/>
        </w:rPr>
        <w:t xml:space="preserve">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</w:t>
      </w:r>
      <w:proofErr w:type="gramStart"/>
      <w:r>
        <w:rPr>
          <w:b/>
          <w:sz w:val="32"/>
        </w:rPr>
        <w:t>для</w:t>
      </w:r>
      <w:proofErr w:type="gramEnd"/>
    </w:p>
    <w:p w:rsidR="007B79B9" w:rsidRDefault="007B79B9" w:rsidP="007B79B9">
      <w:pPr>
        <w:jc w:val="center"/>
        <w:rPr>
          <w:b/>
          <w:sz w:val="32"/>
          <w:szCs w:val="32"/>
        </w:rPr>
      </w:pPr>
      <w:r>
        <w:rPr>
          <w:b/>
          <w:sz w:val="32"/>
        </w:rPr>
        <w:t>населения муниципального образования</w:t>
      </w: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056-17-МНГП-ОЧ-К1</w:t>
      </w: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shd w:val="clear" w:color="auto" w:fill="FFFFFF"/>
        <w:ind w:right="192"/>
        <w:rPr>
          <w:b/>
          <w:sz w:val="28"/>
          <w:szCs w:val="28"/>
        </w:rPr>
      </w:pPr>
    </w:p>
    <w:p w:rsidR="007B79B9" w:rsidRDefault="007B79B9" w:rsidP="007B79B9">
      <w:pPr>
        <w:shd w:val="clear" w:color="auto" w:fill="FFFFFF"/>
        <w:ind w:right="1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bookmarkEnd w:id="0"/>
    <w:p w:rsidR="007B79B9" w:rsidRDefault="007B79B9" w:rsidP="007B79B9">
      <w:pPr>
        <w:shd w:val="clear" w:color="auto" w:fill="FFFFFF"/>
        <w:ind w:right="192"/>
        <w:jc w:val="center"/>
        <w:rPr>
          <w:b/>
          <w:bCs/>
          <w:iCs/>
          <w:color w:val="000000"/>
          <w:spacing w:val="2"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200B7CC" wp14:editId="1097DC63">
            <wp:simplePos x="0" y="0"/>
            <wp:positionH relativeFrom="column">
              <wp:posOffset>-23495</wp:posOffset>
            </wp:positionH>
            <wp:positionV relativeFrom="paragraph">
              <wp:posOffset>-53975</wp:posOffset>
            </wp:positionV>
            <wp:extent cx="734060" cy="760095"/>
            <wp:effectExtent l="0" t="0" r="8890" b="1905"/>
            <wp:wrapTight wrapText="bothSides">
              <wp:wrapPolygon edited="0">
                <wp:start x="0" y="0"/>
                <wp:lineTo x="0" y="21113"/>
                <wp:lineTo x="21301" y="21113"/>
                <wp:lineTo x="21301" y="0"/>
                <wp:lineTo x="0" y="0"/>
              </wp:wrapPolygon>
            </wp:wrapTight>
            <wp:docPr id="2" name="Рисунок 2" descr="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color w:val="000000"/>
          <w:spacing w:val="2"/>
          <w:sz w:val="32"/>
          <w:szCs w:val="32"/>
        </w:rPr>
        <w:t>Общество с ограниченной ответственностью</w:t>
      </w:r>
    </w:p>
    <w:p w:rsidR="007B79B9" w:rsidRDefault="007B79B9" w:rsidP="007B79B9">
      <w:pPr>
        <w:shd w:val="clear" w:color="auto" w:fill="FFFFFF"/>
        <w:ind w:left="-31" w:right="192"/>
        <w:jc w:val="center"/>
        <w:rPr>
          <w:b/>
          <w:bCs/>
          <w:iCs/>
          <w:color w:val="000000"/>
          <w:spacing w:val="2"/>
          <w:sz w:val="28"/>
          <w:szCs w:val="28"/>
        </w:rPr>
      </w:pPr>
      <w:r>
        <w:rPr>
          <w:b/>
          <w:bCs/>
          <w:iCs/>
          <w:color w:val="000000"/>
          <w:spacing w:val="2"/>
          <w:sz w:val="32"/>
          <w:szCs w:val="32"/>
        </w:rPr>
        <w:t>«Проектно-планировочная мастерская «Мастер-План»</w:t>
      </w:r>
    </w:p>
    <w:p w:rsidR="007B79B9" w:rsidRDefault="007B79B9" w:rsidP="007B79B9">
      <w:pPr>
        <w:tabs>
          <w:tab w:val="left" w:pos="7619"/>
        </w:tabs>
        <w:ind w:left="851"/>
        <w:jc w:val="center"/>
        <w:rPr>
          <w:b/>
          <w:sz w:val="28"/>
          <w:szCs w:val="28"/>
        </w:rPr>
      </w:pPr>
    </w:p>
    <w:p w:rsidR="007B79B9" w:rsidRDefault="007B79B9" w:rsidP="007B79B9">
      <w:pPr>
        <w:tabs>
          <w:tab w:val="left" w:pos="7619"/>
        </w:tabs>
        <w:ind w:left="851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3"/>
      </w:tblGrid>
      <w:tr w:rsidR="007B79B9" w:rsidTr="007B79B9">
        <w:tc>
          <w:tcPr>
            <w:tcW w:w="10207" w:type="dxa"/>
            <w:hideMark/>
          </w:tcPr>
          <w:p w:rsidR="007B79B9" w:rsidRDefault="007B79B9">
            <w:pPr>
              <w:ind w:left="9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Свидетельство № 0049.4-2016-1073808024850-П-52 от 08.04.2016 г.</w:t>
            </w:r>
          </w:p>
        </w:tc>
      </w:tr>
      <w:tr w:rsidR="007B79B9" w:rsidTr="007B79B9">
        <w:tc>
          <w:tcPr>
            <w:tcW w:w="10207" w:type="dxa"/>
          </w:tcPr>
          <w:p w:rsidR="007B79B9" w:rsidRDefault="007B79B9">
            <w:pPr>
              <w:ind w:left="90"/>
              <w:rPr>
                <w:sz w:val="28"/>
                <w:szCs w:val="28"/>
              </w:rPr>
            </w:pPr>
          </w:p>
          <w:p w:rsidR="007B79B9" w:rsidRDefault="007B79B9">
            <w:pPr>
              <w:ind w:left="90"/>
              <w:jc w:val="center"/>
              <w:rPr>
                <w:sz w:val="28"/>
                <w:szCs w:val="28"/>
              </w:rPr>
            </w:pPr>
          </w:p>
        </w:tc>
      </w:tr>
    </w:tbl>
    <w:p w:rsidR="007B79B9" w:rsidRDefault="007B79B9" w:rsidP="007B79B9">
      <w:pPr>
        <w:rPr>
          <w:sz w:val="28"/>
          <w:szCs w:val="28"/>
        </w:rPr>
      </w:pPr>
    </w:p>
    <w:p w:rsidR="007B79B9" w:rsidRDefault="007B79B9" w:rsidP="007B79B9">
      <w:pPr>
        <w:rPr>
          <w:sz w:val="28"/>
          <w:szCs w:val="28"/>
        </w:rPr>
      </w:pPr>
    </w:p>
    <w:p w:rsidR="007B79B9" w:rsidRDefault="007B79B9" w:rsidP="007B79B9">
      <w:pPr>
        <w:rPr>
          <w:sz w:val="28"/>
          <w:szCs w:val="28"/>
        </w:rPr>
      </w:pPr>
    </w:p>
    <w:p w:rsidR="007B79B9" w:rsidRDefault="007B79B9" w:rsidP="007B79B9">
      <w:pPr>
        <w:rPr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6"/>
        <w:gridCol w:w="9617"/>
        <w:gridCol w:w="240"/>
      </w:tblGrid>
      <w:tr w:rsidR="007B79B9" w:rsidTr="007B79B9">
        <w:tc>
          <w:tcPr>
            <w:tcW w:w="10207" w:type="dxa"/>
            <w:gridSpan w:val="3"/>
            <w:hideMark/>
          </w:tcPr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МЕСТНЫЕ НОРМАТИВЫ </w:t>
            </w:r>
            <w:proofErr w:type="gramStart"/>
            <w:r>
              <w:rPr>
                <w:b/>
                <w:sz w:val="32"/>
                <w:szCs w:val="36"/>
              </w:rPr>
              <w:t>ГРАДОСТРОИТЕЛЬНОГО</w:t>
            </w:r>
            <w:proofErr w:type="gramEnd"/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ПРОЕКТИРОВАНИЯ ГОЛУМЕТСКОГО МУНИЦИПАЛЬНОГО</w:t>
            </w:r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ОБРАЗОВАНИЯ ЧЕРЕМХОВСКОГО РАЙОНА</w:t>
            </w:r>
          </w:p>
          <w:p w:rsidR="007B79B9" w:rsidRDefault="007B79B9">
            <w:pPr>
              <w:tabs>
                <w:tab w:val="left" w:pos="14635"/>
              </w:tabs>
              <w:autoSpaceDE w:val="0"/>
              <w:autoSpaceDN w:val="0"/>
              <w:adjustRightInd w:val="0"/>
              <w:ind w:left="-108" w:right="17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6"/>
              </w:rPr>
              <w:t>ИРКУТСКОЙ ОБЛАСТИ</w:t>
            </w:r>
          </w:p>
        </w:tc>
      </w:tr>
      <w:tr w:rsidR="007B79B9" w:rsidTr="007B79B9">
        <w:trPr>
          <w:gridBefore w:val="1"/>
          <w:gridAfter w:val="1"/>
          <w:wBefore w:w="318" w:type="dxa"/>
          <w:wAfter w:w="241" w:type="dxa"/>
          <w:trHeight w:val="1242"/>
        </w:trPr>
        <w:tc>
          <w:tcPr>
            <w:tcW w:w="9648" w:type="dxa"/>
            <w:vAlign w:val="center"/>
          </w:tcPr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ОСНОВНАЯ ЧАСТЬ</w:t>
            </w:r>
          </w:p>
          <w:p w:rsidR="007B79B9" w:rsidRDefault="007B79B9">
            <w:pPr>
              <w:ind w:left="567"/>
              <w:jc w:val="center"/>
              <w:rPr>
                <w:i/>
                <w:sz w:val="28"/>
                <w:szCs w:val="28"/>
              </w:rPr>
            </w:pPr>
          </w:p>
          <w:p w:rsidR="007B79B9" w:rsidRDefault="007B79B9">
            <w:pPr>
              <w:ind w:left="567"/>
              <w:jc w:val="center"/>
              <w:rPr>
                <w:b/>
                <w:bCs/>
                <w:i/>
                <w:sz w:val="36"/>
              </w:rPr>
            </w:pPr>
          </w:p>
        </w:tc>
      </w:tr>
    </w:tbl>
    <w:p w:rsidR="007B79B9" w:rsidRDefault="007B79B9" w:rsidP="007B79B9">
      <w:pPr>
        <w:rPr>
          <w:sz w:val="28"/>
          <w:szCs w:val="28"/>
        </w:rPr>
      </w:pPr>
    </w:p>
    <w:p w:rsidR="007B79B9" w:rsidRDefault="007B79B9" w:rsidP="007B79B9">
      <w:pPr>
        <w:rPr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32"/>
        </w:rPr>
      </w:pPr>
    </w:p>
    <w:p w:rsidR="007B79B9" w:rsidRDefault="007B79B9" w:rsidP="007B79B9">
      <w:pPr>
        <w:jc w:val="center"/>
        <w:rPr>
          <w:b/>
          <w:sz w:val="32"/>
        </w:rPr>
      </w:pPr>
      <w:r>
        <w:rPr>
          <w:b/>
          <w:sz w:val="32"/>
        </w:rPr>
        <w:t xml:space="preserve">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</w:t>
      </w:r>
      <w:proofErr w:type="gramStart"/>
      <w:r>
        <w:rPr>
          <w:b/>
          <w:sz w:val="32"/>
        </w:rPr>
        <w:t>для</w:t>
      </w:r>
      <w:proofErr w:type="gramEnd"/>
    </w:p>
    <w:p w:rsidR="007B79B9" w:rsidRDefault="007B79B9" w:rsidP="007B79B9">
      <w:pPr>
        <w:jc w:val="center"/>
        <w:rPr>
          <w:b/>
          <w:sz w:val="32"/>
          <w:szCs w:val="32"/>
        </w:rPr>
      </w:pPr>
      <w:r>
        <w:rPr>
          <w:b/>
          <w:sz w:val="32"/>
        </w:rPr>
        <w:t>населения муниципального образования</w:t>
      </w: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056-17-МНГП-ОЧ-К1</w:t>
      </w: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jc w:val="center"/>
        <w:rPr>
          <w:b/>
          <w:sz w:val="28"/>
          <w:szCs w:val="28"/>
        </w:rPr>
      </w:pPr>
    </w:p>
    <w:p w:rsidR="007B79B9" w:rsidRDefault="007B79B9" w:rsidP="007B79B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938"/>
      </w:tblGrid>
      <w:tr w:rsidR="007B79B9" w:rsidTr="007B79B9">
        <w:tc>
          <w:tcPr>
            <w:tcW w:w="5012" w:type="dxa"/>
          </w:tcPr>
          <w:p w:rsidR="007B79B9" w:rsidRDefault="007B79B9">
            <w:pPr>
              <w:ind w:firstLine="426"/>
              <w:rPr>
                <w:sz w:val="32"/>
              </w:rPr>
            </w:pPr>
            <w:r>
              <w:rPr>
                <w:sz w:val="32"/>
              </w:rPr>
              <w:t>Генеральный директор</w:t>
            </w:r>
          </w:p>
          <w:p w:rsidR="007B79B9" w:rsidRDefault="007B79B9">
            <w:pPr>
              <w:ind w:firstLine="426"/>
              <w:rPr>
                <w:b/>
                <w:sz w:val="36"/>
                <w:szCs w:val="36"/>
              </w:rPr>
            </w:pPr>
          </w:p>
        </w:tc>
        <w:tc>
          <w:tcPr>
            <w:tcW w:w="5013" w:type="dxa"/>
            <w:hideMark/>
          </w:tcPr>
          <w:p w:rsidR="007B79B9" w:rsidRDefault="007B79B9">
            <w:pPr>
              <w:ind w:right="1162"/>
              <w:jc w:val="right"/>
              <w:rPr>
                <w:b/>
                <w:sz w:val="36"/>
                <w:szCs w:val="36"/>
              </w:rPr>
            </w:pPr>
            <w:r>
              <w:rPr>
                <w:sz w:val="32"/>
              </w:rPr>
              <w:t>Протасова М.В.</w:t>
            </w:r>
          </w:p>
        </w:tc>
      </w:tr>
      <w:tr w:rsidR="007B79B9" w:rsidTr="007B79B9">
        <w:tc>
          <w:tcPr>
            <w:tcW w:w="5012" w:type="dxa"/>
            <w:hideMark/>
          </w:tcPr>
          <w:p w:rsidR="007B79B9" w:rsidRDefault="007B79B9">
            <w:pPr>
              <w:ind w:firstLine="426"/>
              <w:rPr>
                <w:b/>
                <w:sz w:val="36"/>
                <w:szCs w:val="36"/>
              </w:rPr>
            </w:pPr>
            <w:r>
              <w:rPr>
                <w:sz w:val="32"/>
              </w:rPr>
              <w:t>Управляющий проектом</w:t>
            </w:r>
          </w:p>
        </w:tc>
        <w:tc>
          <w:tcPr>
            <w:tcW w:w="5013" w:type="dxa"/>
            <w:hideMark/>
          </w:tcPr>
          <w:p w:rsidR="007B79B9" w:rsidRDefault="007B79B9">
            <w:pPr>
              <w:ind w:right="1162"/>
              <w:jc w:val="right"/>
              <w:rPr>
                <w:b/>
                <w:sz w:val="36"/>
                <w:szCs w:val="36"/>
              </w:rPr>
            </w:pPr>
            <w:r>
              <w:rPr>
                <w:sz w:val="32"/>
              </w:rPr>
              <w:t>Горячева Е.С.</w:t>
            </w:r>
          </w:p>
        </w:tc>
      </w:tr>
    </w:tbl>
    <w:p w:rsidR="007B79B9" w:rsidRDefault="007B79B9" w:rsidP="007B79B9">
      <w:pPr>
        <w:shd w:val="clear" w:color="auto" w:fill="FFFFFF"/>
        <w:ind w:right="192"/>
        <w:rPr>
          <w:b/>
          <w:sz w:val="28"/>
          <w:szCs w:val="28"/>
        </w:rPr>
      </w:pPr>
    </w:p>
    <w:p w:rsidR="00DD6219" w:rsidRDefault="00DD6219" w:rsidP="007B79B9">
      <w:pPr>
        <w:shd w:val="clear" w:color="auto" w:fill="FFFFFF"/>
        <w:ind w:right="192"/>
        <w:rPr>
          <w:b/>
          <w:sz w:val="28"/>
          <w:szCs w:val="28"/>
        </w:rPr>
      </w:pPr>
    </w:p>
    <w:p w:rsidR="00DD6219" w:rsidRDefault="00DD6219" w:rsidP="007B79B9">
      <w:pPr>
        <w:shd w:val="clear" w:color="auto" w:fill="FFFFFF"/>
        <w:ind w:right="192"/>
        <w:rPr>
          <w:b/>
          <w:sz w:val="28"/>
          <w:szCs w:val="28"/>
        </w:rPr>
      </w:pPr>
    </w:p>
    <w:p w:rsidR="00DD6219" w:rsidRDefault="00DD6219" w:rsidP="007B79B9">
      <w:pPr>
        <w:shd w:val="clear" w:color="auto" w:fill="FFFFFF"/>
        <w:ind w:right="192"/>
        <w:rPr>
          <w:b/>
          <w:sz w:val="28"/>
          <w:szCs w:val="28"/>
        </w:rPr>
      </w:pPr>
    </w:p>
    <w:p w:rsidR="00DD6219" w:rsidRDefault="00DD6219" w:rsidP="007B79B9">
      <w:pPr>
        <w:shd w:val="clear" w:color="auto" w:fill="FFFFFF"/>
        <w:ind w:right="192"/>
        <w:rPr>
          <w:b/>
          <w:sz w:val="28"/>
          <w:szCs w:val="28"/>
        </w:rPr>
      </w:pPr>
    </w:p>
    <w:p w:rsidR="007B79B9" w:rsidRDefault="007B79B9" w:rsidP="007B79B9">
      <w:pPr>
        <w:shd w:val="clear" w:color="auto" w:fill="FFFFFF"/>
        <w:ind w:right="192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8A02FB" w:rsidRPr="008A02FB" w:rsidRDefault="008A02FB" w:rsidP="008A02FB">
      <w:pPr>
        <w:jc w:val="center"/>
        <w:rPr>
          <w:b/>
          <w:sz w:val="28"/>
          <w:szCs w:val="28"/>
        </w:rPr>
      </w:pPr>
      <w:bookmarkStart w:id="1" w:name="OLE_LINK1"/>
      <w:r w:rsidRPr="008A02FB">
        <w:rPr>
          <w:b/>
          <w:sz w:val="28"/>
          <w:szCs w:val="28"/>
        </w:rPr>
        <w:lastRenderedPageBreak/>
        <w:t>Содержание</w:t>
      </w:r>
    </w:p>
    <w:p w:rsidR="008A02FB" w:rsidRPr="008A02FB" w:rsidRDefault="008A02FB" w:rsidP="008A02FB">
      <w:pPr>
        <w:jc w:val="center"/>
        <w:rPr>
          <w:b/>
        </w:rPr>
      </w:pPr>
    </w:p>
    <w:tbl>
      <w:tblPr>
        <w:tblOverlap w:val="never"/>
        <w:tblW w:w="1026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5660"/>
        <w:gridCol w:w="1750"/>
      </w:tblGrid>
      <w:tr w:rsidR="008A02FB" w:rsidRPr="008A02FB" w:rsidTr="008A02FB">
        <w:trPr>
          <w:trHeight w:hRule="exact" w:val="90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  <w:rPr>
                <w:b/>
              </w:rPr>
            </w:pPr>
            <w:r w:rsidRPr="008A02FB">
              <w:rPr>
                <w:b/>
              </w:rPr>
              <w:t>Обозначение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  <w:rPr>
                <w:b/>
              </w:rPr>
            </w:pPr>
            <w:r w:rsidRPr="008A02FB">
              <w:rPr>
                <w:b/>
              </w:rPr>
              <w:t>Наименование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  <w:rPr>
                <w:b/>
              </w:rPr>
            </w:pPr>
            <w:r w:rsidRPr="008A02FB">
              <w:rPr>
                <w:b/>
              </w:rPr>
              <w:t>Примечание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  <w:rPr>
                <w:b/>
              </w:rPr>
            </w:pPr>
            <w:r w:rsidRPr="008A02FB">
              <w:t>056-17-МНГП-ОЧ-К1-СП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rPr>
                <w:b/>
                <w:bCs/>
                <w:iCs/>
              </w:rPr>
            </w:pPr>
            <w:r w:rsidRPr="008A02FB">
              <w:rPr>
                <w:b/>
                <w:bCs/>
                <w:iCs/>
              </w:rPr>
              <w:t>Состав проектной документации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2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  <w:rPr>
                <w:b/>
              </w:rPr>
            </w:pPr>
            <w:r w:rsidRPr="008A02FB">
              <w:t>056-17-МНГП-ОЧ-К1-СК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spacing w:line="240" w:lineRule="atLeast"/>
              <w:rPr>
                <w:b/>
              </w:rPr>
            </w:pPr>
            <w:r w:rsidRPr="008A02FB">
              <w:rPr>
                <w:b/>
              </w:rPr>
              <w:t>Состав авторского коллектива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3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  <w:rPr>
                <w:b/>
              </w:rPr>
            </w:pPr>
            <w:r w:rsidRPr="008A02FB">
              <w:t>056-17-МНГП-ОЧ-К1-Т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spacing w:line="240" w:lineRule="atLeast"/>
              <w:rPr>
                <w:b/>
                <w:highlight w:val="yellow"/>
              </w:rPr>
            </w:pPr>
            <w:r w:rsidRPr="008A02FB">
              <w:rPr>
                <w:b/>
              </w:rPr>
              <w:t>Раздел 1. Расчетные показатели местных нормативов градостроительного проектирования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4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284"/>
            </w:pPr>
            <w:r w:rsidRPr="008A02FB">
              <w:t>1.1 Жилой фонд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4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284"/>
            </w:pPr>
            <w:r w:rsidRPr="008A02FB">
              <w:t>1.2 Учреждения и предприятия обслуживания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4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1.2.1 Объекты физкультуры и массового спорта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4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1.2.2 Зоны массового кратковременного отдыха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5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1.2.3 Объекты культуры и досуга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5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1.2.4 Объекты ритуальных услуг и места захоронения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6</w:t>
            </w:r>
          </w:p>
        </w:tc>
      </w:tr>
      <w:tr w:rsidR="008A02FB" w:rsidRPr="008A02FB" w:rsidTr="008A02FB">
        <w:trPr>
          <w:trHeight w:val="49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284"/>
              <w:jc w:val="both"/>
            </w:pPr>
            <w:r w:rsidRPr="008A02FB">
              <w:t>1.3 Озелененные территории общего пользования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6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284"/>
              <w:jc w:val="both"/>
            </w:pPr>
            <w:r w:rsidRPr="008A02FB">
              <w:t>1.4 Проходы (проезды) к водным объектам общего пользования и их береговым полосам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6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284"/>
              <w:jc w:val="both"/>
            </w:pPr>
            <w:r w:rsidRPr="008A02FB">
              <w:t>1.5 Транспорт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6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1.5.1 Автомобильные дороги местного значения в границах населенных пунктов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6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1.5.2 Сеть общественного транспорта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6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1.5.3 Сооружения и устройства для хранения транспортных средств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7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284"/>
              <w:jc w:val="both"/>
            </w:pPr>
            <w:r w:rsidRPr="008A02FB">
              <w:t>1.6 Инженерное обеспечение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7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  <w:rPr>
                <w:highlight w:val="yellow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1.6.1 Объекты водоснабжения и бытовой канализации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7</w:t>
            </w:r>
          </w:p>
        </w:tc>
      </w:tr>
      <w:tr w:rsidR="008A02FB" w:rsidRPr="008A02FB" w:rsidTr="008A02FB">
        <w:trPr>
          <w:trHeight w:val="380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1.6.2 Объекты теплоснабжения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8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1.6.3 Объекты электроснабжения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9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  <w:rPr>
                <w:i/>
              </w:rPr>
            </w:pPr>
            <w:r w:rsidRPr="008A02FB">
              <w:rPr>
                <w:i/>
              </w:rPr>
              <w:t>1.6.4 Объекты, предназначенные для сбора твердых коммунальных отходов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9</w:t>
            </w:r>
          </w:p>
        </w:tc>
      </w:tr>
      <w:tr w:rsidR="008A02FB" w:rsidRPr="008A02FB" w:rsidTr="008A02FB">
        <w:trPr>
          <w:trHeight w:val="383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both"/>
              <w:rPr>
                <w:b/>
              </w:rPr>
            </w:pPr>
            <w:r w:rsidRPr="008A02FB">
              <w:rPr>
                <w:b/>
              </w:rPr>
              <w:t>Приложения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10</w:t>
            </w:r>
          </w:p>
        </w:tc>
      </w:tr>
      <w:tr w:rsidR="008A02FB" w:rsidRPr="008A02FB" w:rsidTr="008A02FB">
        <w:trPr>
          <w:trHeight w:val="45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FB" w:rsidRPr="008A02FB" w:rsidRDefault="008A02FB" w:rsidP="008A02FB">
            <w:pPr>
              <w:jc w:val="center"/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ind w:firstLine="567"/>
              <w:jc w:val="both"/>
            </w:pPr>
            <w:r w:rsidRPr="008A02FB">
              <w:t>1. Термины и определения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FB" w:rsidRPr="008A02FB" w:rsidRDefault="008A02FB" w:rsidP="008A02FB">
            <w:pPr>
              <w:jc w:val="center"/>
            </w:pPr>
            <w:r w:rsidRPr="008A02FB">
              <w:t>11</w:t>
            </w:r>
          </w:p>
        </w:tc>
      </w:tr>
    </w:tbl>
    <w:p w:rsidR="008A02FB" w:rsidRPr="008A02FB" w:rsidRDefault="008A02FB" w:rsidP="008A02FB"/>
    <w:p w:rsidR="008A02FB" w:rsidRPr="008A02FB" w:rsidRDefault="008A02FB" w:rsidP="008A02FB"/>
    <w:p w:rsidR="008A02FB" w:rsidRPr="008A02FB" w:rsidRDefault="008A02FB" w:rsidP="008A02FB"/>
    <w:p w:rsidR="008A02FB" w:rsidRPr="008A02FB" w:rsidRDefault="008A02FB" w:rsidP="008A02FB"/>
    <w:p w:rsidR="008A02FB" w:rsidRPr="008A02FB" w:rsidRDefault="008A02FB" w:rsidP="008A02FB"/>
    <w:bookmarkEnd w:id="1"/>
    <w:p w:rsidR="008A02FB" w:rsidRPr="008A02FB" w:rsidRDefault="008A02FB" w:rsidP="008A02FB"/>
    <w:p w:rsidR="00B245AA" w:rsidRDefault="00DD6219"/>
    <w:p w:rsidR="002569BE" w:rsidRPr="002569BE" w:rsidRDefault="002569BE" w:rsidP="002569BE">
      <w:pPr>
        <w:jc w:val="center"/>
        <w:rPr>
          <w:b/>
          <w:bCs/>
          <w:sz w:val="28"/>
          <w:szCs w:val="28"/>
          <w:lang w:eastAsia="x-none"/>
        </w:rPr>
      </w:pPr>
      <w:r w:rsidRPr="002569BE">
        <w:rPr>
          <w:b/>
          <w:bCs/>
          <w:sz w:val="28"/>
          <w:szCs w:val="28"/>
          <w:lang w:val="x-none" w:eastAsia="x-none"/>
        </w:rPr>
        <w:lastRenderedPageBreak/>
        <w:t xml:space="preserve">Состав </w:t>
      </w:r>
      <w:r w:rsidRPr="002569BE">
        <w:rPr>
          <w:b/>
          <w:bCs/>
          <w:sz w:val="28"/>
          <w:szCs w:val="28"/>
          <w:lang w:eastAsia="x-none"/>
        </w:rPr>
        <w:t>нормативов градостроительного проектирования</w:t>
      </w:r>
    </w:p>
    <w:p w:rsidR="002569BE" w:rsidRPr="002569BE" w:rsidRDefault="002569BE" w:rsidP="002569BE">
      <w:pPr>
        <w:spacing w:after="120"/>
        <w:jc w:val="center"/>
        <w:rPr>
          <w:lang w:eastAsia="x-none"/>
        </w:rPr>
      </w:pPr>
      <w:r w:rsidRPr="002569BE">
        <w:rPr>
          <w:b/>
          <w:lang w:eastAsia="x-none"/>
        </w:rPr>
        <w:t>«Местные нормативы градостроительного проектирования Голуметского муниципального образования Черемховского района Иркутской области»</w:t>
      </w: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245"/>
        <w:gridCol w:w="1701"/>
      </w:tblGrid>
      <w:tr w:rsidR="002569BE" w:rsidRPr="002569BE" w:rsidTr="002569BE">
        <w:trPr>
          <w:trHeight w:val="948"/>
          <w:tblHeader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jc w:val="center"/>
              <w:rPr>
                <w:b/>
              </w:rPr>
            </w:pPr>
          </w:p>
          <w:p w:rsidR="002569BE" w:rsidRPr="002569BE" w:rsidRDefault="002569BE" w:rsidP="002569BE">
            <w:pPr>
              <w:jc w:val="center"/>
              <w:rPr>
                <w:b/>
              </w:rPr>
            </w:pPr>
            <w:r w:rsidRPr="002569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59482" wp14:editId="5EFEFA32">
                      <wp:simplePos x="0" y="0"/>
                      <wp:positionH relativeFrom="column">
                        <wp:posOffset>6874510</wp:posOffset>
                      </wp:positionH>
                      <wp:positionV relativeFrom="paragraph">
                        <wp:posOffset>68580</wp:posOffset>
                      </wp:positionV>
                      <wp:extent cx="342900" cy="282575"/>
                      <wp:effectExtent l="0" t="0" r="19050" b="2222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69BE" w:rsidRDefault="002569BE" w:rsidP="002569BE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:rsidR="002569BE" w:rsidRDefault="002569BE" w:rsidP="002569BE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41.3pt;margin-top:5.4pt;width:27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" filled="f" strokeweight="2pt">
                      <v:textbox>
                        <w:txbxContent>
                          <w:p w:rsidR="002569BE" w:rsidRDefault="002569BE" w:rsidP="002569B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2569BE" w:rsidRDefault="002569BE" w:rsidP="002569BE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9BE">
              <w:rPr>
                <w:b/>
              </w:rPr>
              <w:t>Номер тома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jc w:val="center"/>
              <w:rPr>
                <w:b/>
              </w:rPr>
            </w:pPr>
            <w:r w:rsidRPr="002569BE">
              <w:rPr>
                <w:b/>
              </w:rPr>
              <w:t>Обозначение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bCs/>
              </w:rPr>
            </w:pPr>
            <w:r w:rsidRPr="002569BE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jc w:val="center"/>
              <w:rPr>
                <w:b/>
              </w:rPr>
            </w:pPr>
            <w:r w:rsidRPr="002569BE">
              <w:rPr>
                <w:b/>
              </w:rPr>
              <w:t>Количество страниц/</w:t>
            </w:r>
          </w:p>
          <w:p w:rsidR="002569BE" w:rsidRPr="002569BE" w:rsidRDefault="002569BE" w:rsidP="002569BE">
            <w:pPr>
              <w:jc w:val="center"/>
              <w:rPr>
                <w:b/>
              </w:rPr>
            </w:pPr>
            <w:r w:rsidRPr="002569BE">
              <w:rPr>
                <w:b/>
              </w:rPr>
              <w:t>листов</w:t>
            </w: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rPr>
                <w:lang w:eastAsia="x-none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2569BE">
              <w:rPr>
                <w:b/>
                <w:lang w:eastAsia="x-none"/>
              </w:rPr>
              <w:t>Основная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rPr>
                <w:lang w:val="x-none" w:eastAsia="x-none"/>
              </w:rPr>
            </w:pP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b/>
                <w:lang w:val="x-none" w:eastAsia="x-none"/>
              </w:rPr>
            </w:pPr>
            <w:r w:rsidRPr="002569BE">
              <w:t>056-17</w:t>
            </w:r>
            <w:r w:rsidRPr="002569BE">
              <w:rPr>
                <w:lang w:eastAsia="x-none"/>
              </w:rPr>
              <w:t>-МНГП-ОЧ-К1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both"/>
              <w:rPr>
                <w:b/>
                <w:sz w:val="28"/>
                <w:szCs w:val="28"/>
                <w:lang w:eastAsia="x-none"/>
              </w:rPr>
            </w:pPr>
            <w:r w:rsidRPr="002569BE">
              <w:t>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highlight w:val="yellow"/>
                <w:lang w:eastAsia="x-none"/>
              </w:rPr>
            </w:pPr>
            <w:r w:rsidRPr="002569BE">
              <w:rPr>
                <w:lang w:eastAsia="x-none"/>
              </w:rPr>
              <w:t>12</w:t>
            </w: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rPr>
                <w:lang w:eastAsia="x-none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highlight w:val="yellow"/>
                <w:lang w:eastAsia="x-none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both"/>
              <w:rPr>
                <w:bCs/>
                <w:color w:val="000000"/>
                <w:lang w:eastAsia="x-none"/>
              </w:rPr>
            </w:pPr>
            <w:r w:rsidRPr="002569BE">
              <w:rPr>
                <w:b/>
              </w:rPr>
              <w:t>Материалы по обоснованию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rPr>
                <w:highlight w:val="yellow"/>
                <w:lang w:eastAsia="x-none"/>
              </w:rPr>
            </w:pP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jc w:val="center"/>
              <w:rPr>
                <w:bCs/>
                <w:highlight w:val="yellow"/>
              </w:rPr>
            </w:pPr>
            <w:r w:rsidRPr="002569BE">
              <w:t>056-17</w:t>
            </w:r>
            <w:r w:rsidRPr="002569BE">
              <w:rPr>
                <w:lang w:eastAsia="x-none"/>
              </w:rPr>
              <w:t>-МНГП-ОМ-К2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both"/>
              <w:rPr>
                <w:bCs/>
                <w:color w:val="000000"/>
                <w:lang w:eastAsia="x-none"/>
              </w:rPr>
            </w:pPr>
            <w:r w:rsidRPr="002569BE">
              <w:t>Книга 2. Материалы по обоснованию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rPr>
                <w:lang w:eastAsia="x-none"/>
              </w:rPr>
              <w:t>36</w:t>
            </w: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rPr>
                <w:lang w:eastAsia="x-none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both"/>
            </w:pPr>
            <w:r w:rsidRPr="002569BE">
              <w:rPr>
                <w:b/>
              </w:rPr>
              <w:t>Правила и область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jc w:val="center"/>
            </w:pPr>
            <w:r w:rsidRPr="002569BE">
              <w:t>056-17</w:t>
            </w:r>
            <w:r w:rsidRPr="002569BE">
              <w:rPr>
                <w:lang w:eastAsia="x-none"/>
              </w:rPr>
              <w:t>-МНГП-ОП-К3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both"/>
            </w:pPr>
            <w:r w:rsidRPr="002569BE">
              <w:t>Книга 3. Правила и область применения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rPr>
                <w:lang w:eastAsia="x-none"/>
              </w:rPr>
              <w:t>5</w:t>
            </w: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rPr>
                <w:lang w:eastAsia="x-none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rPr>
                <w:b/>
              </w:rPr>
            </w:pPr>
            <w:r w:rsidRPr="002569BE">
              <w:rPr>
                <w:b/>
              </w:rPr>
              <w:t>Материалы в электронном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rPr>
                <w:highlight w:val="yellow"/>
                <w:lang w:eastAsia="x-none"/>
              </w:rPr>
            </w:pPr>
          </w:p>
        </w:tc>
      </w:tr>
      <w:tr w:rsidR="002569BE" w:rsidRPr="002569BE" w:rsidTr="002569BE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tabs>
                <w:tab w:val="left" w:pos="5940"/>
              </w:tabs>
              <w:jc w:val="center"/>
              <w:rPr>
                <w:lang w:eastAsia="x-none"/>
              </w:rPr>
            </w:pPr>
            <w:r w:rsidRPr="002569BE">
              <w:t>056-17</w:t>
            </w:r>
            <w:r w:rsidRPr="002569BE">
              <w:rPr>
                <w:lang w:eastAsia="x-none"/>
              </w:rPr>
              <w:t>-</w:t>
            </w:r>
            <w:r w:rsidRPr="002569BE">
              <w:t>МНГП-Д1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69BE" w:rsidRPr="002569BE" w:rsidRDefault="002569BE" w:rsidP="002569BE">
            <w:pPr>
              <w:rPr>
                <w:spacing w:val="-8"/>
              </w:rPr>
            </w:pPr>
            <w:r w:rsidRPr="002569BE">
              <w:t>Диск 1.  Материалы проекта – комплект текстовых материалов в форматах .*</w:t>
            </w:r>
            <w:proofErr w:type="spellStart"/>
            <w:r w:rsidRPr="002569BE">
              <w:rPr>
                <w:lang w:val="en-US"/>
              </w:rPr>
              <w:t>pdf</w:t>
            </w:r>
            <w:proofErr w:type="spellEnd"/>
            <w:r w:rsidRPr="002569BE">
              <w:t xml:space="preserve"> и .*</w:t>
            </w:r>
            <w:r w:rsidRPr="002569BE">
              <w:rPr>
                <w:lang w:val="en-US"/>
              </w:rPr>
              <w:t>doc</w:t>
            </w:r>
            <w:r w:rsidRPr="002569BE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9BE" w:rsidRPr="002569BE" w:rsidRDefault="002569BE" w:rsidP="002569BE">
            <w:pPr>
              <w:tabs>
                <w:tab w:val="left" w:pos="5940"/>
              </w:tabs>
              <w:rPr>
                <w:highlight w:val="yellow"/>
                <w:lang w:eastAsia="x-none"/>
              </w:rPr>
            </w:pPr>
          </w:p>
        </w:tc>
      </w:tr>
    </w:tbl>
    <w:p w:rsidR="008A02FB" w:rsidRDefault="008A02FB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2569BE" w:rsidRDefault="002569BE"/>
    <w:p w:rsidR="00F06525" w:rsidRPr="00F06525" w:rsidRDefault="00F06525" w:rsidP="00F06525">
      <w:pPr>
        <w:jc w:val="center"/>
        <w:rPr>
          <w:sz w:val="28"/>
          <w:szCs w:val="28"/>
          <w:lang w:eastAsia="x-none"/>
        </w:rPr>
      </w:pPr>
      <w:r w:rsidRPr="00F06525">
        <w:rPr>
          <w:sz w:val="28"/>
          <w:szCs w:val="28"/>
          <w:lang w:val="x-none" w:eastAsia="x-none"/>
        </w:rPr>
        <w:lastRenderedPageBreak/>
        <w:t xml:space="preserve">Состав </w:t>
      </w:r>
      <w:r w:rsidRPr="00F06525">
        <w:rPr>
          <w:sz w:val="28"/>
          <w:szCs w:val="28"/>
          <w:lang w:eastAsia="x-none"/>
        </w:rPr>
        <w:t>коллектива</w:t>
      </w:r>
    </w:p>
    <w:p w:rsidR="00F06525" w:rsidRPr="00F06525" w:rsidRDefault="00F06525" w:rsidP="00F06525">
      <w:pPr>
        <w:tabs>
          <w:tab w:val="left" w:pos="854"/>
          <w:tab w:val="center" w:pos="5191"/>
        </w:tabs>
        <w:ind w:firstLine="856"/>
      </w:pPr>
      <w:r w:rsidRPr="00F06525">
        <w:t xml:space="preserve">в разработке </w:t>
      </w:r>
      <w:r w:rsidRPr="00F06525">
        <w:rPr>
          <w:b/>
        </w:rPr>
        <w:t>«Местных нормативов градостроительного проектирования Голуметского муниципального образования Черемховского района»</w:t>
      </w:r>
      <w:r w:rsidRPr="00F06525">
        <w:t xml:space="preserve">  принимали участие</w:t>
      </w:r>
    </w:p>
    <w:tbl>
      <w:tblPr>
        <w:tblW w:w="993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9"/>
        <w:gridCol w:w="2411"/>
      </w:tblGrid>
      <w:tr w:rsidR="00F06525" w:rsidRPr="00F06525" w:rsidTr="00F06525">
        <w:trPr>
          <w:trHeight w:val="551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rPr>
                <w:b/>
                <w:bCs/>
              </w:rPr>
            </w:pPr>
            <w:r w:rsidRPr="00F06525">
              <w:rPr>
                <w:b/>
                <w:bCs/>
              </w:rPr>
              <w:t>Специалист</w:t>
            </w:r>
            <w:proofErr w:type="gramStart"/>
            <w:r w:rsidRPr="00F06525">
              <w:rPr>
                <w:b/>
                <w:bCs/>
              </w:rPr>
              <w:t>ы ООО</w:t>
            </w:r>
            <w:proofErr w:type="gramEnd"/>
            <w:r w:rsidRPr="00F06525">
              <w:rPr>
                <w:b/>
                <w:bCs/>
              </w:rPr>
              <w:t xml:space="preserve"> «ППМ «Мастер-План»:</w:t>
            </w:r>
          </w:p>
        </w:tc>
      </w:tr>
      <w:tr w:rsidR="00F06525" w:rsidRPr="00F06525" w:rsidTr="00F06525">
        <w:trPr>
          <w:trHeight w:val="284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rPr>
                <w:b/>
                <w:bCs/>
              </w:rPr>
              <w:t>Градостроительная часть</w:t>
            </w:r>
          </w:p>
        </w:tc>
      </w:tr>
      <w:tr w:rsidR="00F06525" w:rsidRPr="00F06525" w:rsidTr="00F06525">
        <w:trPr>
          <w:trHeight w:hRule="exact" w:val="284"/>
        </w:trPr>
        <w:tc>
          <w:tcPr>
            <w:tcW w:w="7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tabs>
                <w:tab w:val="left" w:pos="708"/>
                <w:tab w:val="right" w:pos="3239"/>
                <w:tab w:val="center" w:pos="4677"/>
                <w:tab w:val="right" w:pos="9355"/>
              </w:tabs>
              <w:rPr>
                <w:lang w:eastAsia="x-none"/>
              </w:rPr>
            </w:pPr>
            <w:r w:rsidRPr="00F06525">
              <w:rPr>
                <w:lang w:val="x-none" w:eastAsia="x-none"/>
              </w:rPr>
              <w:t>Управляющий проектом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t>Е.С. Горячева</w:t>
            </w:r>
          </w:p>
        </w:tc>
      </w:tr>
      <w:tr w:rsidR="00F06525" w:rsidRPr="00F06525" w:rsidTr="00F06525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rPr>
                <w:b/>
                <w:bCs/>
              </w:rPr>
              <w:t>Экономика</w:t>
            </w:r>
          </w:p>
        </w:tc>
      </w:tr>
      <w:tr w:rsidR="00F06525" w:rsidRPr="00F06525" w:rsidTr="00F06525">
        <w:trPr>
          <w:trHeight w:hRule="exact" w:val="284"/>
        </w:trPr>
        <w:tc>
          <w:tcPr>
            <w:tcW w:w="7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tabs>
                <w:tab w:val="center" w:pos="4677"/>
                <w:tab w:val="right" w:pos="9355"/>
              </w:tabs>
              <w:rPr>
                <w:lang w:val="x-none" w:eastAsia="x-none"/>
              </w:rPr>
            </w:pPr>
            <w:r w:rsidRPr="00F06525">
              <w:rPr>
                <w:iCs/>
                <w:lang w:eastAsia="x-none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t>Н.В. Смирнов</w:t>
            </w:r>
          </w:p>
        </w:tc>
      </w:tr>
      <w:tr w:rsidR="00F06525" w:rsidRPr="00F06525" w:rsidTr="00F06525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rPr>
                <w:b/>
                <w:bCs/>
                <w:iCs/>
              </w:rPr>
              <w:t>Электроснабжение</w:t>
            </w:r>
          </w:p>
        </w:tc>
      </w:tr>
      <w:tr w:rsidR="00F06525" w:rsidRPr="00F06525" w:rsidTr="00F06525">
        <w:trPr>
          <w:trHeight w:hRule="exact" w:val="284"/>
        </w:trPr>
        <w:tc>
          <w:tcPr>
            <w:tcW w:w="7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tabs>
                <w:tab w:val="center" w:pos="4677"/>
                <w:tab w:val="right" w:pos="9355"/>
              </w:tabs>
              <w:ind w:firstLine="34"/>
              <w:rPr>
                <w:i/>
                <w:iCs/>
                <w:lang w:val="x-none" w:eastAsia="x-none"/>
              </w:rPr>
            </w:pPr>
            <w:r w:rsidRPr="00F06525">
              <w:rPr>
                <w:lang w:eastAsia="x-none"/>
              </w:rPr>
              <w:t>Ведущий инженер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ind w:firstLine="33"/>
            </w:pPr>
            <w:r w:rsidRPr="00F06525">
              <w:t>Е.С. Горячева</w:t>
            </w:r>
          </w:p>
        </w:tc>
      </w:tr>
      <w:tr w:rsidR="00F06525" w:rsidRPr="00F06525" w:rsidTr="00F06525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rPr>
                <w:b/>
                <w:bCs/>
                <w:iCs/>
              </w:rPr>
              <w:t>Водоснабжение, водоотведение, ливневая канализация</w:t>
            </w:r>
          </w:p>
        </w:tc>
      </w:tr>
      <w:tr w:rsidR="00F06525" w:rsidRPr="00F06525" w:rsidTr="00F06525">
        <w:trPr>
          <w:trHeight w:hRule="exact" w:val="284"/>
        </w:trPr>
        <w:tc>
          <w:tcPr>
            <w:tcW w:w="7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tabs>
                <w:tab w:val="center" w:pos="4677"/>
                <w:tab w:val="right" w:pos="9355"/>
              </w:tabs>
              <w:ind w:firstLine="34"/>
              <w:rPr>
                <w:i/>
                <w:iCs/>
                <w:lang w:val="x-none" w:eastAsia="x-none"/>
              </w:rPr>
            </w:pPr>
            <w:r w:rsidRPr="00F06525">
              <w:rPr>
                <w:lang w:eastAsia="x-none"/>
              </w:rPr>
              <w:t>Инженер 1 категории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ind w:firstLine="33"/>
            </w:pPr>
            <w:r w:rsidRPr="00F06525">
              <w:t>И.А. Маринина</w:t>
            </w:r>
          </w:p>
        </w:tc>
      </w:tr>
      <w:tr w:rsidR="00F06525" w:rsidRPr="00F06525" w:rsidTr="00F06525">
        <w:trPr>
          <w:trHeight w:val="284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r w:rsidRPr="00F06525">
              <w:rPr>
                <w:b/>
                <w:bCs/>
                <w:iCs/>
              </w:rPr>
              <w:t>Теплоснабжение</w:t>
            </w:r>
          </w:p>
        </w:tc>
      </w:tr>
      <w:tr w:rsidR="00F06525" w:rsidRPr="00F06525" w:rsidTr="00F06525">
        <w:trPr>
          <w:trHeight w:hRule="exact" w:val="284"/>
        </w:trPr>
        <w:tc>
          <w:tcPr>
            <w:tcW w:w="7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tabs>
                <w:tab w:val="center" w:pos="4677"/>
                <w:tab w:val="right" w:pos="9355"/>
              </w:tabs>
              <w:ind w:firstLine="34"/>
              <w:rPr>
                <w:i/>
                <w:iCs/>
                <w:lang w:val="x-none" w:eastAsia="x-none"/>
              </w:rPr>
            </w:pPr>
            <w:r w:rsidRPr="00F06525">
              <w:rPr>
                <w:lang w:eastAsia="x-none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6525" w:rsidRPr="00F06525" w:rsidRDefault="00F06525" w:rsidP="00F06525">
            <w:pPr>
              <w:ind w:firstLine="33"/>
            </w:pPr>
            <w:r w:rsidRPr="00F06525">
              <w:t>П.Д. Бабкина</w:t>
            </w:r>
          </w:p>
        </w:tc>
      </w:tr>
    </w:tbl>
    <w:p w:rsidR="002569BE" w:rsidRDefault="002569BE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F06525" w:rsidRDefault="00F06525"/>
    <w:p w:rsidR="000E2F08" w:rsidRPr="000E2F08" w:rsidRDefault="000E2F08" w:rsidP="000E2F08">
      <w:pPr>
        <w:widowControl w:val="0"/>
        <w:spacing w:before="240" w:after="240" w:line="360" w:lineRule="auto"/>
        <w:ind w:firstLine="709"/>
        <w:jc w:val="both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0E2F0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Раздел 1. Расчетные показатели местных нормативов </w:t>
      </w:r>
      <w:r w:rsidRPr="000E2F0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lastRenderedPageBreak/>
        <w:t>градостроительного проектирования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0E2F08">
        <w:rPr>
          <w:b/>
        </w:rPr>
        <w:t>1.1 Жилой фонд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ind w:firstLine="709"/>
        <w:jc w:val="both"/>
      </w:pPr>
      <w:r w:rsidRPr="000E2F08">
        <w:t>Учетная норма при определении уровня обеспеченности граждан в целях принятия их на учет в качестве нуждающихся в жилых помещениях составляет 14 м</w:t>
      </w:r>
      <w:proofErr w:type="gramStart"/>
      <w:r w:rsidRPr="000E2F08">
        <w:rPr>
          <w:vertAlign w:val="superscript"/>
        </w:rPr>
        <w:t>2</w:t>
      </w:r>
      <w:proofErr w:type="gramEnd"/>
      <w:r w:rsidRPr="000E2F08">
        <w:t xml:space="preserve"> на одного человека.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ind w:firstLine="709"/>
        <w:jc w:val="both"/>
      </w:pPr>
      <w:r w:rsidRPr="000E2F08">
        <w:t>Норма предоставления общей площади жилого помещения по договору социального найма составляет:</w:t>
      </w:r>
    </w:p>
    <w:p w:rsidR="000E2F08" w:rsidRPr="000E2F08" w:rsidRDefault="000E2F08" w:rsidP="000E2F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E2F08">
        <w:t>для семей численностью два и более человек – не менее 16 м</w:t>
      </w:r>
      <w:proofErr w:type="gramStart"/>
      <w:r w:rsidRPr="000E2F08">
        <w:rPr>
          <w:vertAlign w:val="superscript"/>
        </w:rPr>
        <w:t>2</w:t>
      </w:r>
      <w:proofErr w:type="gramEnd"/>
      <w:r w:rsidRPr="000E2F08">
        <w:t xml:space="preserve"> общей площади жилого помещения на каждого члена семьи; </w:t>
      </w:r>
    </w:p>
    <w:p w:rsidR="000E2F08" w:rsidRPr="000E2F08" w:rsidRDefault="000E2F08" w:rsidP="000E2F0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E2F08">
        <w:t>для одиноко проживающих граждан – не менее 28 м</w:t>
      </w:r>
      <w:proofErr w:type="gramStart"/>
      <w:r w:rsidRPr="000E2F08">
        <w:rPr>
          <w:vertAlign w:val="superscript"/>
        </w:rPr>
        <w:t>2</w:t>
      </w:r>
      <w:proofErr w:type="gramEnd"/>
      <w:r w:rsidRPr="000E2F08">
        <w:t xml:space="preserve"> общей площади жилого помещения.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ind w:firstLine="709"/>
        <w:jc w:val="both"/>
      </w:pPr>
      <w:r w:rsidRPr="000E2F08">
        <w:t>Специализированный жилой фонд предоставляется согласно Жилищному кодексу Российской Федерации:</w:t>
      </w:r>
    </w:p>
    <w:p w:rsidR="000E2F08" w:rsidRPr="000E2F08" w:rsidRDefault="000E2F08" w:rsidP="000E2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E2F08">
        <w:t>для служебных жилых помещений – не менее 15,0 м</w:t>
      </w:r>
      <w:proofErr w:type="gramStart"/>
      <w:r w:rsidRPr="000E2F08">
        <w:rPr>
          <w:vertAlign w:val="superscript"/>
        </w:rPr>
        <w:t>2</w:t>
      </w:r>
      <w:proofErr w:type="gramEnd"/>
      <w:r w:rsidRPr="000E2F08">
        <w:t xml:space="preserve"> общей площади на 1 человека;</w:t>
      </w:r>
    </w:p>
    <w:p w:rsidR="000E2F08" w:rsidRPr="000E2F08" w:rsidRDefault="000E2F08" w:rsidP="000E2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E2F08">
        <w:t>для жилых помещений в общежитиях – не менее 6,0 м</w:t>
      </w:r>
      <w:proofErr w:type="gramStart"/>
      <w:r w:rsidRPr="000E2F08">
        <w:rPr>
          <w:vertAlign w:val="superscript"/>
        </w:rPr>
        <w:t>2</w:t>
      </w:r>
      <w:proofErr w:type="gramEnd"/>
      <w:r w:rsidRPr="000E2F08">
        <w:t xml:space="preserve"> общей площади на 1 человека;</w:t>
      </w:r>
    </w:p>
    <w:p w:rsidR="000E2F08" w:rsidRPr="000E2F08" w:rsidRDefault="000E2F08" w:rsidP="000E2F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0E2F08">
        <w:t>для жилых помещений маневренного фонда – не менее 6,0 м</w:t>
      </w:r>
      <w:proofErr w:type="gramStart"/>
      <w:r w:rsidRPr="000E2F08">
        <w:rPr>
          <w:vertAlign w:val="superscript"/>
        </w:rPr>
        <w:t>2</w:t>
      </w:r>
      <w:proofErr w:type="gramEnd"/>
      <w:r w:rsidRPr="000E2F08">
        <w:t xml:space="preserve"> общей площади на 1 человека.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0E2F08">
        <w:rPr>
          <w:b/>
        </w:rPr>
        <w:t>1.2 Учреждения и предприятия обслуживания</w:t>
      </w:r>
    </w:p>
    <w:p w:rsidR="000E2F08" w:rsidRPr="000E2F08" w:rsidRDefault="000E2F08" w:rsidP="000E2F08">
      <w:pPr>
        <w:widowControl w:val="0"/>
        <w:spacing w:before="120" w:after="120"/>
        <w:ind w:firstLine="709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0E2F08">
        <w:rPr>
          <w:rFonts w:asciiTheme="minorHAnsi" w:eastAsiaTheme="minorHAnsi" w:hAnsiTheme="minorHAnsi" w:cstheme="minorBidi"/>
          <w:b/>
          <w:i/>
          <w:lang w:eastAsia="en-US"/>
        </w:rPr>
        <w:t>1.2.1 Объекты физкультуры и массового спорта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ind w:firstLine="709"/>
        <w:jc w:val="both"/>
        <w:outlineLvl w:val="0"/>
      </w:pPr>
      <w:r w:rsidRPr="000E2F08">
        <w:t xml:space="preserve">Минимально допустимый уровень обеспеченности населения Голуметского муниципального образования объектами физической культуры и массового спорта принимается по таблице 1.1 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0E2F08">
        <w:rPr>
          <w:b/>
        </w:rPr>
        <w:t>Таблица 1.1 – Минимально допустимый уровень обеспеченности населения объектами физкультуры и массового спорта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4306"/>
        <w:gridCol w:w="2269"/>
      </w:tblGrid>
      <w:tr w:rsidR="000E2F08" w:rsidRPr="000E2F08">
        <w:trPr>
          <w:cantSplit/>
          <w:trHeight w:val="50"/>
          <w:tblHeader/>
          <w:jc w:val="center"/>
        </w:trPr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0E2F08" w:rsidRPr="000E2F08">
        <w:trPr>
          <w:cantSplit/>
          <w:trHeight w:val="160"/>
          <w:tblHeader/>
          <w:jc w:val="center"/>
        </w:trPr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3</w:t>
            </w:r>
          </w:p>
        </w:tc>
      </w:tr>
      <w:tr w:rsidR="000E2F08" w:rsidRPr="000E2F08">
        <w:trPr>
          <w:cantSplit/>
          <w:trHeight w:val="188"/>
          <w:jc w:val="center"/>
        </w:trPr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Спортивные залы</w:t>
            </w:r>
          </w:p>
        </w:tc>
        <w:tc>
          <w:tcPr>
            <w:tcW w:w="4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м</w:t>
            </w:r>
            <w:proofErr w:type="gramStart"/>
            <w:r w:rsidRPr="000E2F0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E2F0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E2F08">
              <w:rPr>
                <w:bCs/>
                <w:sz w:val="22"/>
                <w:szCs w:val="22"/>
              </w:rPr>
              <w:t>площади пола на 1 тыс. чел.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73,5</w:t>
            </w:r>
          </w:p>
        </w:tc>
      </w:tr>
      <w:tr w:rsidR="000E2F08" w:rsidRPr="000E2F08">
        <w:trPr>
          <w:cantSplit/>
          <w:trHeight w:val="270"/>
          <w:jc w:val="center"/>
        </w:trPr>
        <w:tc>
          <w:tcPr>
            <w:tcW w:w="3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Плавательные бассейны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м</w:t>
            </w:r>
            <w:proofErr w:type="gramStart"/>
            <w:r w:rsidRPr="000E2F0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E2F08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E2F08">
              <w:rPr>
                <w:bCs/>
                <w:sz w:val="22"/>
                <w:szCs w:val="22"/>
              </w:rPr>
              <w:t>зеркала воды на 1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23,6</w:t>
            </w:r>
          </w:p>
        </w:tc>
      </w:tr>
      <w:tr w:rsidR="000E2F08" w:rsidRPr="000E2F08">
        <w:trPr>
          <w:cantSplit/>
          <w:trHeight w:val="275"/>
          <w:jc w:val="center"/>
        </w:trPr>
        <w:tc>
          <w:tcPr>
            <w:tcW w:w="3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Плоскостные сооружения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м</w:t>
            </w:r>
            <w:proofErr w:type="gramStart"/>
            <w:r w:rsidRPr="000E2F08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0E2F08">
              <w:rPr>
                <w:bCs/>
                <w:sz w:val="22"/>
                <w:szCs w:val="22"/>
              </w:rPr>
              <w:t xml:space="preserve"> плоскостных сооружений на 1 тыс.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2047,5</w:t>
            </w:r>
          </w:p>
        </w:tc>
      </w:tr>
    </w:tbl>
    <w:p w:rsidR="000E2F08" w:rsidRPr="000E2F08" w:rsidRDefault="000E2F08" w:rsidP="000E2F08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0E2F08">
        <w:t>Максимально допустимый уровень доступности объектов физической культуры и массового спорта для населения принимается по таблице 1.2.</w:t>
      </w:r>
    </w:p>
    <w:p w:rsidR="000E2F08" w:rsidRPr="000E2F08" w:rsidRDefault="000E2F08" w:rsidP="000E2F08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0E2F08">
        <w:rPr>
          <w:b/>
        </w:rPr>
        <w:t>Таблица 1.2 – Максимально допустимый уровень доступности объектов физкультуры и массового спорта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2652"/>
        <w:gridCol w:w="2410"/>
      </w:tblGrid>
      <w:tr w:rsidR="000E2F08" w:rsidRPr="000E2F08">
        <w:trPr>
          <w:cantSplit/>
          <w:trHeight w:val="99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0E2F08" w:rsidRPr="000E2F08">
        <w:trPr>
          <w:cantSplit/>
          <w:trHeight w:val="73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3</w:t>
            </w:r>
          </w:p>
        </w:tc>
      </w:tr>
      <w:tr w:rsidR="000E2F08" w:rsidRPr="000E2F08">
        <w:trPr>
          <w:cantSplit/>
          <w:trHeight w:val="245"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мин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30*</w:t>
            </w:r>
          </w:p>
        </w:tc>
      </w:tr>
      <w:tr w:rsidR="000E2F08" w:rsidRPr="000E2F08">
        <w:trPr>
          <w:cantSplit/>
          <w:trHeight w:val="112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Плавательные бассейны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1*</w:t>
            </w:r>
          </w:p>
        </w:tc>
      </w:tr>
      <w:tr w:rsidR="000E2F08" w:rsidRPr="000E2F08">
        <w:trPr>
          <w:cantSplit/>
          <w:trHeight w:val="145"/>
          <w:jc w:val="center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F08" w:rsidRPr="000E2F08" w:rsidRDefault="000E2F08" w:rsidP="000E2F0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2F08">
              <w:rPr>
                <w:sz w:val="22"/>
                <w:szCs w:val="22"/>
              </w:rPr>
              <w:t>1500</w:t>
            </w:r>
          </w:p>
        </w:tc>
      </w:tr>
    </w:tbl>
    <w:p w:rsidR="000E2F08" w:rsidRDefault="000E2F08" w:rsidP="000E2F08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E2F08">
        <w:rPr>
          <w:i/>
          <w:sz w:val="22"/>
          <w:szCs w:val="22"/>
        </w:rPr>
        <w:t xml:space="preserve">Примечание: * </w:t>
      </w:r>
      <w:r w:rsidRPr="000E2F08">
        <w:rPr>
          <w:b/>
          <w:i/>
          <w:sz w:val="22"/>
          <w:szCs w:val="22"/>
        </w:rPr>
        <w:t xml:space="preserve">– </w:t>
      </w:r>
      <w:r w:rsidRPr="000E2F08">
        <w:rPr>
          <w:i/>
          <w:sz w:val="22"/>
          <w:szCs w:val="22"/>
        </w:rPr>
        <w:t>транспортная доступность.</w:t>
      </w:r>
    </w:p>
    <w:p w:rsidR="00702455" w:rsidRPr="00702455" w:rsidRDefault="00702455" w:rsidP="00702455">
      <w:pPr>
        <w:autoSpaceDN w:val="0"/>
        <w:spacing w:after="120"/>
        <w:ind w:firstLine="709"/>
        <w:jc w:val="both"/>
        <w:rPr>
          <w:rFonts w:eastAsia="Calibri"/>
          <w:b/>
          <w:i/>
          <w:lang w:eastAsia="en-US"/>
        </w:rPr>
      </w:pPr>
      <w:r w:rsidRPr="00702455">
        <w:rPr>
          <w:rFonts w:eastAsia="Calibri"/>
          <w:b/>
          <w:i/>
          <w:lang w:eastAsia="en-US"/>
        </w:rPr>
        <w:t>1.2.2 Зоны массового кратковременного отдыха</w:t>
      </w:r>
    </w:p>
    <w:p w:rsidR="00702455" w:rsidRPr="00702455" w:rsidRDefault="00702455" w:rsidP="00702455">
      <w:pPr>
        <w:autoSpaceDN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702455">
        <w:rPr>
          <w:rFonts w:eastAsia="Calibri"/>
        </w:rPr>
        <w:t>Минимально допустимый уровень обеспеченности населения зонами массового кратковременного отдыха принимается по таблице 1.3.</w:t>
      </w:r>
    </w:p>
    <w:p w:rsidR="00702455" w:rsidRPr="00702455" w:rsidRDefault="00702455" w:rsidP="00702455">
      <w:pPr>
        <w:autoSpaceDN w:val="0"/>
        <w:spacing w:before="120" w:after="120"/>
        <w:ind w:firstLine="709"/>
        <w:jc w:val="both"/>
        <w:rPr>
          <w:rFonts w:eastAsia="Calibri"/>
          <w:b/>
          <w:lang w:eastAsia="en-US"/>
        </w:rPr>
      </w:pPr>
      <w:r w:rsidRPr="00702455">
        <w:rPr>
          <w:rFonts w:eastAsia="Calibri"/>
          <w:b/>
          <w:lang w:eastAsia="en-US"/>
        </w:rPr>
        <w:lastRenderedPageBreak/>
        <w:t xml:space="preserve">Таблица 1.3 – </w:t>
      </w:r>
      <w:r w:rsidRPr="00702455">
        <w:rPr>
          <w:rFonts w:eastAsia="Calibri"/>
          <w:b/>
        </w:rPr>
        <w:t>Минимально допустимый уровень обеспеченности населения зонами массового отдыха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2553"/>
        <w:gridCol w:w="1560"/>
      </w:tblGrid>
      <w:tr w:rsidR="00702455" w:rsidRPr="00702455" w:rsidTr="00702455">
        <w:trPr>
          <w:cantSplit/>
          <w:trHeight w:val="50"/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702455" w:rsidRPr="00702455" w:rsidTr="00702455">
        <w:trPr>
          <w:cantSplit/>
          <w:trHeight w:val="176"/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3</w:t>
            </w:r>
          </w:p>
        </w:tc>
      </w:tr>
      <w:tr w:rsidR="00702455" w:rsidRPr="00702455" w:rsidTr="00702455">
        <w:trPr>
          <w:cantSplit/>
          <w:trHeight w:val="262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both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Зона массового кратковременного отдыха, в том числе:</w:t>
            </w:r>
          </w:p>
        </w:tc>
      </w:tr>
      <w:tr w:rsidR="00702455" w:rsidRPr="00702455" w:rsidTr="00702455">
        <w:trPr>
          <w:cantSplit/>
          <w:trHeight w:val="360"/>
          <w:jc w:val="center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ind w:left="176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интенсивно используемая часть, 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</w:t>
            </w:r>
            <w:proofErr w:type="gramStart"/>
            <w:r w:rsidRPr="00702455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702455">
              <w:rPr>
                <w:bCs/>
                <w:sz w:val="22"/>
                <w:szCs w:val="22"/>
              </w:rPr>
              <w:t>/посетителя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100</w:t>
            </w:r>
          </w:p>
        </w:tc>
      </w:tr>
      <w:tr w:rsidR="00702455" w:rsidRPr="00702455" w:rsidTr="00702455">
        <w:trPr>
          <w:cantSplit/>
          <w:trHeight w:val="255"/>
          <w:jc w:val="center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ind w:left="459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пляжи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</w:t>
            </w:r>
            <w:proofErr w:type="gramStart"/>
            <w:r w:rsidRPr="00702455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702455">
              <w:rPr>
                <w:bCs/>
                <w:sz w:val="22"/>
                <w:szCs w:val="22"/>
              </w:rPr>
              <w:t>/посетителя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8</w:t>
            </w:r>
          </w:p>
        </w:tc>
      </w:tr>
      <w:tr w:rsidR="00702455" w:rsidRPr="00702455" w:rsidTr="00702455">
        <w:trPr>
          <w:cantSplit/>
          <w:trHeight w:val="302"/>
          <w:jc w:val="center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ind w:left="176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неинтенсивно используемая часть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</w:t>
            </w:r>
            <w:proofErr w:type="gramStart"/>
            <w:r w:rsidRPr="00702455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702455">
              <w:rPr>
                <w:bCs/>
                <w:sz w:val="22"/>
                <w:szCs w:val="22"/>
              </w:rPr>
              <w:t>/посетителя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500 – 1000</w:t>
            </w:r>
          </w:p>
        </w:tc>
      </w:tr>
    </w:tbl>
    <w:p w:rsidR="00702455" w:rsidRPr="00702455" w:rsidRDefault="00702455" w:rsidP="00702455">
      <w:pPr>
        <w:autoSpaceDN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702455">
        <w:rPr>
          <w:rFonts w:eastAsia="Calibri"/>
        </w:rPr>
        <w:t>Максимально допустимый уровень доступности для населения зон массового кратковременного отдыха принимается по таблице 1.4.</w:t>
      </w:r>
    </w:p>
    <w:p w:rsidR="00702455" w:rsidRPr="00702455" w:rsidRDefault="00702455" w:rsidP="00702455">
      <w:pPr>
        <w:autoSpaceDN w:val="0"/>
        <w:spacing w:before="120" w:after="120"/>
        <w:ind w:firstLine="567"/>
        <w:jc w:val="both"/>
        <w:rPr>
          <w:rFonts w:eastAsia="Calibri"/>
          <w:b/>
          <w:lang w:eastAsia="en-US"/>
        </w:rPr>
      </w:pPr>
      <w:r w:rsidRPr="00702455">
        <w:rPr>
          <w:rFonts w:eastAsia="Calibri"/>
          <w:b/>
          <w:lang w:eastAsia="en-US"/>
        </w:rPr>
        <w:t xml:space="preserve">Таблица 1.4 – </w:t>
      </w:r>
      <w:r w:rsidRPr="00702455">
        <w:rPr>
          <w:rFonts w:eastAsia="Calibri"/>
          <w:b/>
        </w:rPr>
        <w:t>Максимально допустимый уровень доступности для населения зон массового кратковременного отдыха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2553"/>
        <w:gridCol w:w="1560"/>
      </w:tblGrid>
      <w:tr w:rsidR="00702455" w:rsidRPr="00702455" w:rsidTr="00702455">
        <w:trPr>
          <w:cantSplit/>
          <w:trHeight w:val="50"/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 xml:space="preserve">Показатель </w:t>
            </w:r>
          </w:p>
        </w:tc>
      </w:tr>
      <w:tr w:rsidR="00702455" w:rsidRPr="00702455" w:rsidTr="00702455">
        <w:trPr>
          <w:cantSplit/>
          <w:trHeight w:val="153"/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3</w:t>
            </w:r>
          </w:p>
        </w:tc>
      </w:tr>
      <w:tr w:rsidR="00702455" w:rsidRPr="00702455" w:rsidTr="00702455">
        <w:trPr>
          <w:cantSplit/>
          <w:trHeight w:val="50"/>
          <w:jc w:val="center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Зона массового кратковременного отдыха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10</w:t>
            </w:r>
          </w:p>
        </w:tc>
      </w:tr>
    </w:tbl>
    <w:p w:rsidR="00702455" w:rsidRPr="00702455" w:rsidRDefault="00702455" w:rsidP="00702455">
      <w:pPr>
        <w:widowControl w:val="0"/>
        <w:spacing w:before="120" w:after="120"/>
        <w:ind w:firstLine="709"/>
        <w:jc w:val="both"/>
        <w:rPr>
          <w:rFonts w:asciiTheme="minorHAnsi" w:hAnsiTheme="minorHAnsi" w:cstheme="minorBidi"/>
          <w:b/>
        </w:rPr>
      </w:pPr>
      <w:r w:rsidRPr="00702455">
        <w:rPr>
          <w:rFonts w:asciiTheme="minorHAnsi" w:eastAsiaTheme="minorHAnsi" w:hAnsiTheme="minorHAnsi" w:cstheme="minorBidi"/>
          <w:b/>
          <w:i/>
          <w:lang w:eastAsia="en-US"/>
        </w:rPr>
        <w:t>1.2.3 Объекты культуры и досуга</w:t>
      </w:r>
    </w:p>
    <w:p w:rsidR="00702455" w:rsidRPr="00702455" w:rsidRDefault="00702455" w:rsidP="00702455">
      <w:pPr>
        <w:overflowPunct w:val="0"/>
        <w:autoSpaceDE w:val="0"/>
        <w:autoSpaceDN w:val="0"/>
        <w:adjustRightInd w:val="0"/>
        <w:ind w:firstLine="709"/>
        <w:jc w:val="both"/>
        <w:outlineLvl w:val="0"/>
      </w:pPr>
      <w:r w:rsidRPr="00702455">
        <w:t>Минимально допустимый уровень обеспеченности населения Голуметского муниципального образования объектами культуры и досуга принимается по таблице 1.5.</w:t>
      </w:r>
    </w:p>
    <w:p w:rsidR="00702455" w:rsidRPr="00702455" w:rsidRDefault="00702455" w:rsidP="00702455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702455">
        <w:rPr>
          <w:b/>
        </w:rPr>
        <w:t xml:space="preserve">Таблица 1.5 – Минимально допустимый уровень обеспеченности населения объектами культуры и досуга 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3687"/>
        <w:gridCol w:w="1560"/>
      </w:tblGrid>
      <w:tr w:rsidR="00702455" w:rsidRPr="00702455" w:rsidTr="00702455">
        <w:trPr>
          <w:cantSplit/>
          <w:trHeight w:val="116"/>
          <w:tblHeader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702455" w:rsidRPr="00702455" w:rsidTr="00702455">
        <w:trPr>
          <w:cantSplit/>
          <w:trHeight w:val="50"/>
          <w:tblHeader/>
          <w:jc w:val="center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3</w:t>
            </w:r>
          </w:p>
        </w:tc>
      </w:tr>
      <w:tr w:rsidR="00702455" w:rsidRPr="00702455" w:rsidTr="00702455">
        <w:trPr>
          <w:cantSplit/>
          <w:trHeight w:val="141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02455">
              <w:rPr>
                <w:bCs/>
                <w:color w:val="000000"/>
                <w:sz w:val="22"/>
                <w:szCs w:val="22"/>
              </w:rPr>
              <w:t>Муниципальные архивы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02455">
              <w:rPr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1</w:t>
            </w:r>
          </w:p>
        </w:tc>
      </w:tr>
      <w:tr w:rsidR="00702455" w:rsidRPr="00702455" w:rsidTr="00702455">
        <w:trPr>
          <w:cantSplit/>
          <w:trHeight w:val="7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Сельские населенные пункты и их группы с численностью населения 0,2 – 1 тыс. чел.</w:t>
            </w:r>
          </w:p>
        </w:tc>
      </w:tr>
      <w:tr w:rsidR="00702455" w:rsidRPr="00702455" w:rsidTr="00702455">
        <w:trPr>
          <w:cantSplit/>
          <w:trHeight w:val="230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тыс. единиц хранения 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7,5</w:t>
            </w:r>
          </w:p>
        </w:tc>
      </w:tr>
      <w:tr w:rsidR="00702455" w:rsidRPr="00702455" w:rsidTr="00702455">
        <w:trPr>
          <w:cantSplit/>
          <w:trHeight w:val="311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 xml:space="preserve">место </w:t>
            </w:r>
            <w:r w:rsidRPr="00702455">
              <w:rPr>
                <w:sz w:val="22"/>
                <w:szCs w:val="22"/>
              </w:rPr>
              <w:t>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500-300</w:t>
            </w:r>
          </w:p>
        </w:tc>
      </w:tr>
      <w:tr w:rsidR="00702455" w:rsidRPr="00702455" w:rsidTr="00702455">
        <w:trPr>
          <w:cantSplit/>
          <w:trHeight w:val="7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Сельские населенные пункты и их группы с численностью населения 1 – 2 тыс. чел.</w:t>
            </w:r>
          </w:p>
        </w:tc>
      </w:tr>
      <w:tr w:rsidR="00702455" w:rsidRPr="00702455" w:rsidTr="00702455">
        <w:trPr>
          <w:cantSplit/>
          <w:trHeight w:val="70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тыс. единиц хранения 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6-7,5</w:t>
            </w:r>
          </w:p>
        </w:tc>
      </w:tr>
      <w:tr w:rsidR="00702455" w:rsidRPr="00702455" w:rsidTr="00702455">
        <w:trPr>
          <w:cantSplit/>
          <w:trHeight w:val="178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 xml:space="preserve">место </w:t>
            </w:r>
            <w:r w:rsidRPr="00702455">
              <w:rPr>
                <w:sz w:val="22"/>
                <w:szCs w:val="22"/>
              </w:rPr>
              <w:t>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300-230</w:t>
            </w:r>
          </w:p>
        </w:tc>
      </w:tr>
      <w:tr w:rsidR="00702455" w:rsidRPr="00702455" w:rsidTr="00702455">
        <w:trPr>
          <w:cantSplit/>
          <w:trHeight w:val="17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Сельские населенные пункты и их группы с численностью населения 1 – 2 тыс. чел.</w:t>
            </w:r>
          </w:p>
        </w:tc>
      </w:tr>
      <w:tr w:rsidR="00702455" w:rsidRPr="00702455" w:rsidTr="00702455">
        <w:trPr>
          <w:cantSplit/>
          <w:trHeight w:val="178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тыс. единиц хранения 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5-6</w:t>
            </w:r>
          </w:p>
        </w:tc>
      </w:tr>
      <w:tr w:rsidR="00702455" w:rsidRPr="00702455" w:rsidTr="00702455">
        <w:trPr>
          <w:cantSplit/>
          <w:trHeight w:val="178"/>
          <w:jc w:val="center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ind w:left="284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 xml:space="preserve">место </w:t>
            </w:r>
            <w:r w:rsidRPr="00702455">
              <w:rPr>
                <w:sz w:val="22"/>
                <w:szCs w:val="22"/>
              </w:rPr>
              <w:t>на 1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230-190</w:t>
            </w:r>
          </w:p>
        </w:tc>
      </w:tr>
    </w:tbl>
    <w:p w:rsidR="00702455" w:rsidRPr="00702455" w:rsidRDefault="00702455" w:rsidP="00702455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i/>
          <w:sz w:val="22"/>
          <w:szCs w:val="22"/>
        </w:rPr>
      </w:pPr>
      <w:r w:rsidRPr="00702455">
        <w:rPr>
          <w:i/>
          <w:sz w:val="22"/>
          <w:szCs w:val="22"/>
        </w:rPr>
        <w:t xml:space="preserve">Примечание: </w:t>
      </w:r>
      <w:r w:rsidRPr="00702455">
        <w:rPr>
          <w:i/>
          <w:iCs/>
          <w:sz w:val="22"/>
          <w:szCs w:val="22"/>
        </w:rPr>
        <w:t>Меньшие значения вместимости клубов и библиотек следует принимать для больших населенных пунктов.</w:t>
      </w:r>
    </w:p>
    <w:p w:rsidR="00702455" w:rsidRPr="00702455" w:rsidRDefault="00702455" w:rsidP="00702455">
      <w:pPr>
        <w:overflowPunct w:val="0"/>
        <w:autoSpaceDE w:val="0"/>
        <w:autoSpaceDN w:val="0"/>
        <w:adjustRightInd w:val="0"/>
        <w:ind w:firstLine="720"/>
        <w:jc w:val="both"/>
      </w:pPr>
      <w:r w:rsidRPr="00702455">
        <w:t>Максимально допустимый уровень доступности объектов культуры и досуга для населения принимается по таблице 1.6</w:t>
      </w:r>
    </w:p>
    <w:p w:rsidR="00702455" w:rsidRPr="00702455" w:rsidRDefault="00702455" w:rsidP="00702455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</w:pPr>
      <w:r w:rsidRPr="00702455">
        <w:rPr>
          <w:rFonts w:eastAsia="Calibri"/>
          <w:b/>
          <w:lang w:eastAsia="en-US"/>
        </w:rPr>
        <w:t xml:space="preserve">Таблица 1.6 – </w:t>
      </w:r>
      <w:r w:rsidRPr="00702455">
        <w:rPr>
          <w:rFonts w:eastAsia="Calibri"/>
          <w:b/>
        </w:rPr>
        <w:t>Максимальный уровень доступности для населения объектов культуры и досуга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3688"/>
        <w:gridCol w:w="1843"/>
      </w:tblGrid>
      <w:tr w:rsidR="00702455" w:rsidRPr="00702455" w:rsidTr="00702455">
        <w:trPr>
          <w:cantSplit/>
          <w:trHeight w:val="62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702455" w:rsidRPr="00702455" w:rsidTr="00702455">
        <w:trPr>
          <w:cantSplit/>
          <w:trHeight w:val="96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3</w:t>
            </w:r>
          </w:p>
        </w:tc>
      </w:tr>
      <w:tr w:rsidR="00702455" w:rsidRPr="00702455" w:rsidTr="00702455">
        <w:trPr>
          <w:cantSplit/>
          <w:trHeight w:val="166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Муниципальные архивы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2*</w:t>
            </w:r>
          </w:p>
        </w:tc>
      </w:tr>
      <w:tr w:rsidR="00702455" w:rsidRPr="00702455" w:rsidTr="00702455">
        <w:trPr>
          <w:cantSplit/>
          <w:trHeight w:val="176"/>
          <w:jc w:val="center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Муниципальные библиотеки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0,5*</w:t>
            </w:r>
          </w:p>
        </w:tc>
      </w:tr>
      <w:tr w:rsidR="00702455" w:rsidRPr="00702455" w:rsidTr="00702455">
        <w:trPr>
          <w:cantSplit/>
          <w:trHeight w:val="70"/>
          <w:jc w:val="center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bCs/>
                <w:sz w:val="22"/>
                <w:szCs w:val="22"/>
              </w:rPr>
              <w:t>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02455" w:rsidRPr="00702455" w:rsidRDefault="00702455" w:rsidP="0070245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2455">
              <w:rPr>
                <w:sz w:val="22"/>
                <w:szCs w:val="22"/>
              </w:rPr>
              <w:t>0,5*</w:t>
            </w:r>
          </w:p>
        </w:tc>
      </w:tr>
    </w:tbl>
    <w:p w:rsidR="00702455" w:rsidRDefault="00702455" w:rsidP="00702455">
      <w:pPr>
        <w:widowControl w:val="0"/>
        <w:spacing w:after="120"/>
        <w:ind w:firstLine="709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0245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Примечание:</w:t>
      </w:r>
      <w:r w:rsidRPr="007024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* </w:t>
      </w:r>
      <w:r w:rsidRPr="007024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– </w:t>
      </w:r>
      <w:r w:rsidRPr="0070245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транспортная доступность.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</w:rPr>
      </w:pPr>
      <w:r w:rsidRPr="00DF20E0">
        <w:rPr>
          <w:b/>
          <w:bCs/>
          <w:i/>
        </w:rPr>
        <w:t>1.2.4 Объекты ритуальных услуг и места захоронения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lastRenderedPageBreak/>
        <w:t>Минимально допустимый уровень обеспеченности населения Голуметского муниципального образования объектами ритуальных услуг и местами захоронения принимается по таблице 1.7.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20E0">
        <w:rPr>
          <w:b/>
        </w:rPr>
        <w:t>Таблица 1.7 – Минимально допустимый уровень обеспеченности населения объектами ритуальных услуг и местами захоронения</w:t>
      </w:r>
    </w:p>
    <w:tbl>
      <w:tblPr>
        <w:tblW w:w="96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95"/>
        <w:gridCol w:w="2551"/>
        <w:gridCol w:w="2693"/>
      </w:tblGrid>
      <w:tr w:rsidR="00DF20E0" w:rsidRPr="00DF20E0" w:rsidTr="00DF20E0">
        <w:trPr>
          <w:trHeight w:val="233"/>
          <w:tblHeader/>
          <w:jc w:val="center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DF20E0" w:rsidRPr="00DF20E0" w:rsidTr="00DF20E0">
        <w:trPr>
          <w:trHeight w:val="126"/>
          <w:tblHeader/>
          <w:jc w:val="center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3</w:t>
            </w:r>
          </w:p>
        </w:tc>
      </w:tr>
      <w:tr w:rsidR="00DF20E0" w:rsidRPr="00DF20E0" w:rsidTr="00DF20E0">
        <w:trPr>
          <w:trHeight w:val="159"/>
          <w:jc w:val="center"/>
        </w:trPr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spacing w:line="290" w:lineRule="atLeast"/>
              <w:jc w:val="both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spacing w:line="290" w:lineRule="atLeast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объект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spacing w:line="290" w:lineRule="atLeast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</w:tr>
      <w:tr w:rsidR="00DF20E0" w:rsidRPr="00DF20E0" w:rsidTr="00DF20E0">
        <w:trPr>
          <w:trHeight w:val="203"/>
          <w:jc w:val="center"/>
        </w:trPr>
        <w:tc>
          <w:tcPr>
            <w:tcW w:w="4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spacing w:line="290" w:lineRule="atLeast"/>
              <w:jc w:val="both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Кладбища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spacing w:line="290" w:lineRule="atLeast"/>
              <w:jc w:val="center"/>
              <w:rPr>
                <w:sz w:val="22"/>
                <w:szCs w:val="22"/>
              </w:rPr>
            </w:pPr>
            <w:proofErr w:type="gramStart"/>
            <w:r w:rsidRPr="00DF20E0">
              <w:rPr>
                <w:sz w:val="22"/>
                <w:szCs w:val="22"/>
              </w:rPr>
              <w:t>га</w:t>
            </w:r>
            <w:proofErr w:type="gramEnd"/>
            <w:r w:rsidRPr="00DF20E0">
              <w:rPr>
                <w:sz w:val="22"/>
                <w:szCs w:val="22"/>
              </w:rPr>
              <w:t xml:space="preserve"> на 1000 чел.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spacing w:line="290" w:lineRule="atLeast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0,26</w:t>
            </w:r>
          </w:p>
        </w:tc>
      </w:tr>
    </w:tbl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20E0">
        <w:rPr>
          <w:b/>
        </w:rPr>
        <w:t>1.3 Озелененные территории общего пользования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20"/>
        <w:jc w:val="both"/>
      </w:pPr>
      <w:r w:rsidRPr="00DF20E0">
        <w:t>Минимально допустимый уровень обеспеченности населения Голуметского муниципального образования озелененными территориями общего пользования устанавливается в размере 12 м</w:t>
      </w:r>
      <w:proofErr w:type="gramStart"/>
      <w:r w:rsidRPr="00DF20E0">
        <w:rPr>
          <w:vertAlign w:val="superscript"/>
        </w:rPr>
        <w:t>2</w:t>
      </w:r>
      <w:proofErr w:type="gramEnd"/>
      <w:r w:rsidRPr="00DF20E0">
        <w:rPr>
          <w:vertAlign w:val="superscript"/>
        </w:rPr>
        <w:t xml:space="preserve"> </w:t>
      </w:r>
      <w:r w:rsidRPr="00DF20E0">
        <w:t>на человека.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20"/>
        <w:jc w:val="both"/>
      </w:pPr>
      <w:r w:rsidRPr="00DF20E0">
        <w:t>В населенных пунктах, расположенных в окружении лесов, в прибрежных зонах водоемов, площадь озелененных территорий общего пользования допускается уменьшать, но не более чем на 20%.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20E0">
        <w:rPr>
          <w:b/>
          <w:bCs/>
        </w:rPr>
        <w:t>1.4 Проходы (проезды) к водным объектам общего пользования и их береговым полосам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F20E0">
        <w:rPr>
          <w:shd w:val="clear" w:color="auto" w:fill="FFFFFF"/>
        </w:rPr>
        <w:t>Максимальная территориальная доступность устанавливается для осуществления прохода (проезда) к водным объектам общего пользования и их береговым полосам и принимается по таблице 1.8.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F20E0">
        <w:t>Проход (проезд) к водным объектам общего пользования и их береговым полосам, как правило, устанавливается в границах территории общего пользования, при невозможности – обеспечивается путем установления публичных сервитутов.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b/>
          <w:shd w:val="clear" w:color="auto" w:fill="FFFFFF"/>
        </w:rPr>
      </w:pPr>
      <w:r w:rsidRPr="00DF20E0">
        <w:rPr>
          <w:b/>
          <w:shd w:val="clear" w:color="auto" w:fill="FFFFFF"/>
        </w:rPr>
        <w:t xml:space="preserve">Таблица 1.8 – </w:t>
      </w:r>
      <w:r w:rsidRPr="00DF20E0">
        <w:rPr>
          <w:b/>
        </w:rPr>
        <w:t>Максимальный уровень доступности проходов (проездов) к водным объектам общего пользования и их береговым полосам</w:t>
      </w:r>
    </w:p>
    <w:tbl>
      <w:tblPr>
        <w:tblW w:w="96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2464"/>
        <w:gridCol w:w="1560"/>
      </w:tblGrid>
      <w:tr w:rsidR="00DF20E0" w:rsidRPr="00DF20E0" w:rsidTr="00DF20E0">
        <w:trPr>
          <w:tblHeader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Показатель</w:t>
            </w:r>
          </w:p>
        </w:tc>
      </w:tr>
      <w:tr w:rsidR="00DF20E0" w:rsidRPr="00DF20E0" w:rsidTr="00DF20E0">
        <w:trPr>
          <w:trHeight w:val="108"/>
          <w:tblHeader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3</w:t>
            </w:r>
          </w:p>
        </w:tc>
      </w:tr>
      <w:tr w:rsidR="00DF20E0" w:rsidRPr="00DF20E0" w:rsidTr="00DF20E0">
        <w:trPr>
          <w:tblHeader/>
        </w:trPr>
        <w:tc>
          <w:tcPr>
            <w:tcW w:w="5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Проход (проезд) к водным объектам общего пользования и их береговым полосам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м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250</w:t>
            </w:r>
          </w:p>
        </w:tc>
      </w:tr>
    </w:tbl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DF20E0">
        <w:rPr>
          <w:i/>
          <w:sz w:val="22"/>
          <w:szCs w:val="22"/>
        </w:rPr>
        <w:t>Примечание: За максимально допустимый уровень территориальной доступности прохода (проезда) к водным объектам общего пользования и их береговой полосе принимается половина расстояния между соседними проходами.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</w:pPr>
      <w:r w:rsidRPr="00DF20E0">
        <w:rPr>
          <w:b/>
        </w:rPr>
        <w:t>1.5 Транспорт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</w:rPr>
      </w:pPr>
      <w:r w:rsidRPr="00DF20E0">
        <w:rPr>
          <w:b/>
          <w:i/>
        </w:rPr>
        <w:t>1.5.1 Автомобильные дороги местного значения в границах населенных пунктов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Уровень автомобилизации Голуметского муниципального образования следует принимать в размере 350 легковых автомобилей на 1000 человек, включая 3 такси и 2 ведомственных автомобиля, 25 грузовых автомобилей в зависимости от состава парка.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Классификация автомобильных дорог местного значения приводится в таблице 1.9.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</w:rPr>
      </w:pPr>
      <w:r w:rsidRPr="00DF20E0">
        <w:rPr>
          <w:b/>
          <w:i/>
        </w:rPr>
        <w:t>1.5.2 Сеть общественного транспорта</w:t>
      </w:r>
    </w:p>
    <w:p w:rsidR="00DF20E0" w:rsidRPr="00DF20E0" w:rsidRDefault="00DF20E0" w:rsidP="00DF20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lang w:eastAsia="en-US"/>
        </w:rPr>
        <w:t>Дальность пешеходных подходов</w:t>
      </w:r>
      <w:r w:rsidRPr="00DF20E0">
        <w:t xml:space="preserve"> </w:t>
      </w:r>
      <w:r w:rsidRPr="00DF20E0">
        <w:rPr>
          <w:rFonts w:eastAsia="Calibri"/>
          <w:lang w:eastAsia="en-US"/>
        </w:rPr>
        <w:t xml:space="preserve">до ближайшей остановки общественного пассажирского транспорта следует принимать не более </w:t>
      </w:r>
      <w:r w:rsidRPr="00DF20E0">
        <w:t>500 м.</w:t>
      </w:r>
    </w:p>
    <w:p w:rsidR="00DF20E0" w:rsidRPr="00DF20E0" w:rsidRDefault="00DF20E0" w:rsidP="00DF20E0">
      <w:pPr>
        <w:autoSpaceDE w:val="0"/>
        <w:autoSpaceDN w:val="0"/>
        <w:adjustRightInd w:val="0"/>
        <w:ind w:firstLine="720"/>
        <w:jc w:val="both"/>
      </w:pPr>
      <w:r w:rsidRPr="00DF20E0">
        <w:t>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принимать 400 м.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60" w:after="60"/>
        <w:ind w:firstLine="709"/>
        <w:jc w:val="both"/>
        <w:rPr>
          <w:b/>
        </w:rPr>
      </w:pPr>
      <w:r w:rsidRPr="00DF20E0">
        <w:rPr>
          <w:b/>
          <w:highlight w:val="lightGray"/>
        </w:rPr>
        <w:br w:type="page"/>
      </w:r>
      <w:r w:rsidRPr="00DF20E0">
        <w:rPr>
          <w:b/>
        </w:rPr>
        <w:lastRenderedPageBreak/>
        <w:t>Таблица 1.9 – Показатели поперечных профилей улично-дорожной сети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53"/>
        <w:gridCol w:w="1259"/>
        <w:gridCol w:w="1019"/>
        <w:gridCol w:w="941"/>
        <w:gridCol w:w="1398"/>
      </w:tblGrid>
      <w:tr w:rsidR="00DF20E0" w:rsidRPr="00DF20E0" w:rsidTr="00DF20E0">
        <w:trPr>
          <w:trHeight w:val="524"/>
          <w:tblHeader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Категория </w:t>
            </w:r>
          </w:p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сельских улиц и дорог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Основное </w:t>
            </w:r>
          </w:p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назначение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DF20E0">
              <w:rPr>
                <w:sz w:val="22"/>
                <w:szCs w:val="22"/>
              </w:rPr>
              <w:t>км</w:t>
            </w:r>
            <w:proofErr w:type="gramEnd"/>
            <w:r w:rsidRPr="00DF20E0">
              <w:rPr>
                <w:sz w:val="22"/>
                <w:szCs w:val="22"/>
              </w:rPr>
              <w:t>/ч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Ширина</w:t>
            </w:r>
          </w:p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полосы движения, </w:t>
            </w:r>
            <w:proofErr w:type="gramStart"/>
            <w:r w:rsidRPr="00DF20E0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Ширина пешеходной части тротуара, </w:t>
            </w:r>
            <w:proofErr w:type="gramStart"/>
            <w:r w:rsidRPr="00DF20E0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DF20E0" w:rsidRPr="00DF20E0" w:rsidTr="00DF20E0">
        <w:trPr>
          <w:trHeight w:val="85"/>
          <w:tblHeader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6</w:t>
            </w:r>
          </w:p>
        </w:tc>
      </w:tr>
      <w:tr w:rsidR="00DF20E0" w:rsidRPr="00DF20E0" w:rsidTr="00DF20E0">
        <w:trPr>
          <w:trHeight w:val="500"/>
          <w:jc w:val="center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Связь с внешними дорогами общей сети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60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3,5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–</w:t>
            </w:r>
          </w:p>
        </w:tc>
      </w:tr>
      <w:tr w:rsidR="00DF20E0" w:rsidRPr="00DF20E0" w:rsidTr="00DF20E0">
        <w:trPr>
          <w:trHeight w:val="65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Главная улица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1,5-2,25</w:t>
            </w:r>
          </w:p>
        </w:tc>
      </w:tr>
      <w:tr w:rsidR="00DF20E0" w:rsidRPr="00DF20E0" w:rsidTr="00DF20E0">
        <w:trPr>
          <w:trHeight w:val="65"/>
          <w:jc w:val="center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Улица в жилой застройке:</w:t>
            </w:r>
          </w:p>
        </w:tc>
      </w:tr>
      <w:tr w:rsidR="00DF20E0" w:rsidRPr="00DF20E0" w:rsidTr="00DF20E0">
        <w:trPr>
          <w:trHeight w:val="421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основная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1,0-1,5</w:t>
            </w:r>
          </w:p>
        </w:tc>
      </w:tr>
      <w:tr w:rsidR="00DF20E0" w:rsidRPr="00DF20E0" w:rsidTr="00DF20E0">
        <w:trPr>
          <w:trHeight w:val="65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proofErr w:type="gramStart"/>
            <w:r w:rsidRPr="00DF20E0">
              <w:rPr>
                <w:sz w:val="22"/>
                <w:szCs w:val="22"/>
              </w:rPr>
              <w:t>второстепенная</w:t>
            </w:r>
            <w:proofErr w:type="gramEnd"/>
            <w:r w:rsidRPr="00DF20E0">
              <w:rPr>
                <w:sz w:val="22"/>
                <w:szCs w:val="22"/>
              </w:rPr>
              <w:t xml:space="preserve"> (переулок)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2,75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1,0</w:t>
            </w:r>
          </w:p>
        </w:tc>
      </w:tr>
      <w:tr w:rsidR="00DF20E0" w:rsidRPr="00DF20E0" w:rsidTr="00DF20E0">
        <w:trPr>
          <w:trHeight w:val="65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проезд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2,75-3,0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0-1,0</w:t>
            </w:r>
          </w:p>
        </w:tc>
      </w:tr>
      <w:tr w:rsidR="00DF20E0" w:rsidRPr="00DF20E0" w:rsidTr="00DF20E0">
        <w:trPr>
          <w:trHeight w:val="65"/>
          <w:jc w:val="center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4,5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–</w:t>
            </w:r>
          </w:p>
        </w:tc>
      </w:tr>
    </w:tbl>
    <w:p w:rsidR="00DF20E0" w:rsidRPr="00DF20E0" w:rsidRDefault="00DF20E0" w:rsidP="00DF20E0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i/>
          <w:lang w:eastAsia="en-US"/>
        </w:rPr>
      </w:pPr>
      <w:r w:rsidRPr="00DF20E0">
        <w:rPr>
          <w:rFonts w:eastAsia="Calibri"/>
          <w:b/>
          <w:i/>
          <w:lang w:eastAsia="en-US"/>
        </w:rPr>
        <w:t>1.5.3 Сооружения и устройства для хранения транспортных средств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106BBE"/>
          <w:sz w:val="26"/>
          <w:szCs w:val="26"/>
        </w:rPr>
      </w:pPr>
      <w:bookmarkStart w:id="2" w:name="sub_905"/>
      <w:r w:rsidRPr="00DF20E0">
        <w:t xml:space="preserve">Нормы расчета стоянок для временного хранения легковых автомобилей у общественных объектов следует принимать в соответствии с </w:t>
      </w:r>
      <w:r w:rsidRPr="00DF20E0">
        <w:rPr>
          <w:bCs/>
          <w:color w:val="106BBE"/>
          <w:sz w:val="26"/>
          <w:szCs w:val="26"/>
        </w:rPr>
        <w:t>таблицей 1.10.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color w:val="26282F"/>
          <w:sz w:val="26"/>
          <w:szCs w:val="26"/>
        </w:rPr>
      </w:pPr>
      <w:r w:rsidRPr="00DF20E0">
        <w:t>Расстояние пешеходных подходов от стоянок для временного хранения легковых автомобилей следует</w:t>
      </w:r>
      <w:r w:rsidRPr="00DF20E0">
        <w:rPr>
          <w:rFonts w:eastAsia="Calibri"/>
          <w:lang w:eastAsia="en-US"/>
        </w:rPr>
        <w:t xml:space="preserve"> принимать не более 250 м до входа.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</w:pPr>
      <w:r w:rsidRPr="00DF20E0">
        <w:rPr>
          <w:b/>
          <w:bCs/>
          <w:color w:val="26282F"/>
          <w:sz w:val="26"/>
          <w:szCs w:val="26"/>
        </w:rPr>
        <w:t xml:space="preserve">Таблица 1.10 – </w:t>
      </w:r>
      <w:r w:rsidRPr="00DF20E0">
        <w:rPr>
          <w:rFonts w:eastAsia="Calibri"/>
          <w:b/>
          <w:lang w:eastAsia="en-US"/>
        </w:rPr>
        <w:t xml:space="preserve">Нормы расчета стоянок для индивидуального автомобильного транспорта 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58"/>
        <w:gridCol w:w="3664"/>
        <w:gridCol w:w="1417"/>
      </w:tblGrid>
      <w:tr w:rsidR="00DF20E0" w:rsidRPr="00DF20E0" w:rsidTr="00DF20E0">
        <w:trPr>
          <w:tblHeader/>
          <w:jc w:val="center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bookmarkEnd w:id="2"/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Учреждения и предприятия обслуживания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DF20E0">
              <w:rPr>
                <w:sz w:val="22"/>
                <w:szCs w:val="22"/>
              </w:rPr>
              <w:t>машиномест</w:t>
            </w:r>
            <w:proofErr w:type="spellEnd"/>
          </w:p>
        </w:tc>
      </w:tr>
      <w:tr w:rsidR="00DF20E0" w:rsidRPr="00DF20E0" w:rsidTr="00DF20E0">
        <w:trPr>
          <w:tblHeader/>
          <w:jc w:val="center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</w:t>
            </w:r>
          </w:p>
        </w:tc>
      </w:tr>
      <w:tr w:rsidR="00DF20E0" w:rsidRPr="00DF20E0" w:rsidTr="00DF20E0">
        <w:trPr>
          <w:jc w:val="center"/>
        </w:trPr>
        <w:tc>
          <w:tcPr>
            <w:tcW w:w="4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Административно-общественные учреждения</w:t>
            </w:r>
          </w:p>
        </w:tc>
        <w:tc>
          <w:tcPr>
            <w:tcW w:w="36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10 работающих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</w:tr>
      <w:tr w:rsidR="00DF20E0" w:rsidRPr="00DF20E0" w:rsidTr="00DF20E0">
        <w:trPr>
          <w:jc w:val="center"/>
        </w:trPr>
        <w:tc>
          <w:tcPr>
            <w:tcW w:w="4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 10 единовременных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</w:tr>
      <w:tr w:rsidR="00DF20E0" w:rsidRPr="00DF20E0" w:rsidTr="00DF20E0">
        <w:trPr>
          <w:jc w:val="center"/>
        </w:trPr>
        <w:tc>
          <w:tcPr>
            <w:tcW w:w="4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 35 единовременных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4</w:t>
            </w:r>
          </w:p>
        </w:tc>
      </w:tr>
      <w:tr w:rsidR="00DF20E0" w:rsidRPr="00DF20E0" w:rsidTr="00DF20E0">
        <w:trPr>
          <w:jc w:val="center"/>
        </w:trPr>
        <w:tc>
          <w:tcPr>
            <w:tcW w:w="4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 10 мест на трибунах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</w:tr>
      <w:tr w:rsidR="00DF20E0" w:rsidRPr="00DF20E0" w:rsidTr="00DF20E0">
        <w:trPr>
          <w:jc w:val="center"/>
        </w:trPr>
        <w:tc>
          <w:tcPr>
            <w:tcW w:w="4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Учреждения культурно-досугового типа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 10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</w:tr>
      <w:tr w:rsidR="00DF20E0" w:rsidRPr="00DF20E0" w:rsidTr="00DF20E0">
        <w:trPr>
          <w:jc w:val="center"/>
        </w:trPr>
        <w:tc>
          <w:tcPr>
            <w:tcW w:w="45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366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 10 единовременных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</w:tr>
    </w:tbl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20E0">
        <w:rPr>
          <w:b/>
        </w:rPr>
        <w:t>1.6 Инженерное обеспечение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</w:rPr>
      </w:pPr>
      <w:r w:rsidRPr="00DF20E0">
        <w:rPr>
          <w:b/>
          <w:i/>
        </w:rPr>
        <w:t>1.6.1 Объекты водоснабжения и бытовой канализации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Удельное среднесуточное (за год) водопотребление  на хозяйственно-бытовые нужды населения следует принимать в соответствии с таблицей 1.11.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20E0">
        <w:rPr>
          <w:rFonts w:eastAsia="Calibri"/>
        </w:rPr>
        <w:t xml:space="preserve">Коэффициент суточной неравномерности водопотребления </w:t>
      </w:r>
      <w:proofErr w:type="spellStart"/>
      <w:r w:rsidRPr="00DF20E0">
        <w:rPr>
          <w:rFonts w:eastAsia="Calibri"/>
        </w:rPr>
        <w:t>К</w:t>
      </w:r>
      <w:r w:rsidRPr="00DF20E0">
        <w:rPr>
          <w:rFonts w:eastAsia="Calibri"/>
          <w:vertAlign w:val="subscript"/>
        </w:rPr>
        <w:t>сут</w:t>
      </w:r>
      <w:proofErr w:type="spellEnd"/>
      <w:r w:rsidRPr="00DF20E0">
        <w:rPr>
          <w:rFonts w:eastAsia="Calibri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принимать равным: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center"/>
      </w:pPr>
      <w:proofErr w:type="spellStart"/>
      <w:proofErr w:type="gramStart"/>
      <w:r w:rsidRPr="00DF20E0">
        <w:rPr>
          <w:rFonts w:eastAsia="Calibri"/>
          <w:i/>
        </w:rPr>
        <w:t>K</w:t>
      </w:r>
      <w:proofErr w:type="gramEnd"/>
      <w:r w:rsidRPr="00DF20E0">
        <w:rPr>
          <w:rFonts w:eastAsia="Calibri"/>
          <w:i/>
          <w:vertAlign w:val="subscript"/>
        </w:rPr>
        <w:t>сут.max</w:t>
      </w:r>
      <w:proofErr w:type="spellEnd"/>
      <w:r w:rsidRPr="00DF20E0">
        <w:rPr>
          <w:rFonts w:eastAsia="Calibri"/>
          <w:i/>
        </w:rPr>
        <w:t xml:space="preserve"> = 1,3;  </w:t>
      </w:r>
      <w:proofErr w:type="spellStart"/>
      <w:r w:rsidRPr="00DF20E0">
        <w:rPr>
          <w:rFonts w:eastAsia="Calibri"/>
          <w:i/>
        </w:rPr>
        <w:t>K</w:t>
      </w:r>
      <w:r w:rsidRPr="00DF20E0">
        <w:rPr>
          <w:rFonts w:eastAsia="Calibri"/>
          <w:i/>
          <w:vertAlign w:val="subscript"/>
        </w:rPr>
        <w:t>сут.min</w:t>
      </w:r>
      <w:proofErr w:type="spellEnd"/>
      <w:r w:rsidRPr="00DF20E0">
        <w:rPr>
          <w:rFonts w:eastAsia="Calibri"/>
          <w:i/>
        </w:rPr>
        <w:t xml:space="preserve"> = 0,9.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20E0">
        <w:rPr>
          <w:b/>
        </w:rPr>
        <w:br w:type="page"/>
      </w:r>
      <w:r w:rsidRPr="00DF20E0">
        <w:rPr>
          <w:b/>
        </w:rPr>
        <w:lastRenderedPageBreak/>
        <w:t>Таблица 1.11 – Удельное среднесуточное (за год) хозяйственно-питьевое водопотребление в населенных пунктах на одного жителя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7"/>
        <w:gridCol w:w="4519"/>
      </w:tblGrid>
      <w:tr w:rsidR="00DF20E0" w:rsidRPr="00DF20E0" w:rsidTr="00DF20E0">
        <w:trPr>
          <w:trHeight w:val="559"/>
          <w:jc w:val="center"/>
        </w:trPr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Степень благоустройства жилой застройки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pacing w:val="2"/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DF20E0">
              <w:rPr>
                <w:spacing w:val="2"/>
                <w:sz w:val="22"/>
                <w:szCs w:val="22"/>
              </w:rPr>
              <w:t>л</w:t>
            </w:r>
            <w:proofErr w:type="gramEnd"/>
            <w:r w:rsidRPr="00DF20E0">
              <w:rPr>
                <w:spacing w:val="2"/>
                <w:sz w:val="22"/>
                <w:szCs w:val="22"/>
              </w:rPr>
              <w:t>/</w:t>
            </w:r>
            <w:proofErr w:type="spellStart"/>
            <w:r w:rsidRPr="00DF20E0">
              <w:rPr>
                <w:spacing w:val="2"/>
                <w:sz w:val="22"/>
                <w:szCs w:val="22"/>
              </w:rPr>
              <w:t>сут</w:t>
            </w:r>
            <w:proofErr w:type="spellEnd"/>
          </w:p>
        </w:tc>
      </w:tr>
      <w:tr w:rsidR="00DF20E0" w:rsidRPr="00DF20E0" w:rsidTr="00DF20E0">
        <w:trPr>
          <w:trHeight w:val="50"/>
          <w:jc w:val="center"/>
        </w:trPr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2"/>
                <w:sz w:val="22"/>
                <w:szCs w:val="22"/>
              </w:rPr>
            </w:pPr>
            <w:r w:rsidRPr="00DF20E0">
              <w:rPr>
                <w:spacing w:val="2"/>
                <w:sz w:val="22"/>
                <w:szCs w:val="22"/>
              </w:rPr>
              <w:t>2</w:t>
            </w:r>
          </w:p>
        </w:tc>
      </w:tr>
      <w:tr w:rsidR="00DF20E0" w:rsidRPr="00DF20E0" w:rsidTr="00DF20E0">
        <w:trPr>
          <w:trHeight w:val="423"/>
          <w:jc w:val="center"/>
        </w:trPr>
        <w:tc>
          <w:tcPr>
            <w:tcW w:w="50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Застройка зданиями с водопользованием из водоразборных колонок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30</w:t>
            </w:r>
          </w:p>
        </w:tc>
      </w:tr>
      <w:tr w:rsidR="00DF20E0" w:rsidRPr="00DF20E0" w:rsidTr="00DF20E0">
        <w:trPr>
          <w:jc w:val="center"/>
        </w:trPr>
        <w:tc>
          <w:tcPr>
            <w:tcW w:w="5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150</w:t>
            </w:r>
          </w:p>
        </w:tc>
      </w:tr>
      <w:tr w:rsidR="00DF20E0" w:rsidRPr="00DF20E0" w:rsidTr="00DF20E0">
        <w:trPr>
          <w:jc w:val="center"/>
        </w:trPr>
        <w:tc>
          <w:tcPr>
            <w:tcW w:w="50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Застройка зданиями, 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200</w:t>
            </w:r>
          </w:p>
        </w:tc>
      </w:tr>
    </w:tbl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Удельные расходы на полив принимаются равными 50 л/</w:t>
      </w:r>
      <w:proofErr w:type="spellStart"/>
      <w:r w:rsidRPr="00DF20E0">
        <w:t>сут·человека</w:t>
      </w:r>
      <w:proofErr w:type="spellEnd"/>
      <w:r w:rsidRPr="00DF20E0">
        <w:t>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 xml:space="preserve">Удельное водоотведение в </w:t>
      </w:r>
      <w:proofErr w:type="spellStart"/>
      <w:r w:rsidRPr="00DF20E0">
        <w:t>неканализованных</w:t>
      </w:r>
      <w:proofErr w:type="spellEnd"/>
      <w:r w:rsidRPr="00DF20E0">
        <w:t xml:space="preserve"> районах следует принимать 25 л/</w:t>
      </w:r>
      <w:proofErr w:type="spellStart"/>
      <w:r w:rsidRPr="00DF20E0">
        <w:t>сут</w:t>
      </w:r>
      <w:proofErr w:type="spellEnd"/>
      <w:r w:rsidRPr="00DF20E0">
        <w:t xml:space="preserve"> на одного жителя.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</w:rPr>
      </w:pPr>
      <w:r w:rsidRPr="00DF20E0">
        <w:rPr>
          <w:b/>
          <w:i/>
        </w:rPr>
        <w:t>1.6.2 Объекты теплоснабжения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При разработке документов территориального планирования следует принимать удельные показатели расхода тепловой энергии, приведённые в таблице 1.12.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20E0">
        <w:rPr>
          <w:b/>
        </w:rPr>
        <w:t xml:space="preserve">Таблице 1.12 – Удельный расход тепловой энергии на отопление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2896"/>
        <w:gridCol w:w="2551"/>
        <w:gridCol w:w="2585"/>
      </w:tblGrid>
      <w:tr w:rsidR="00DF20E0" w:rsidRPr="00DF20E0" w:rsidTr="00DF20E0">
        <w:trPr>
          <w:tblHeader/>
        </w:trPr>
        <w:tc>
          <w:tcPr>
            <w:tcW w:w="45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Типы зданий</w:t>
            </w:r>
          </w:p>
        </w:tc>
        <w:tc>
          <w:tcPr>
            <w:tcW w:w="513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Удельные показатели расход тепловой энергии на отопление зданий ккал/час на м</w:t>
            </w:r>
            <w:proofErr w:type="gramStart"/>
            <w:r w:rsidRPr="00DF20E0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DF20E0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DF20E0">
              <w:rPr>
                <w:sz w:val="22"/>
                <w:szCs w:val="22"/>
                <w:lang w:eastAsia="en-US"/>
              </w:rPr>
              <w:t xml:space="preserve"> или [ккал/час на м</w:t>
            </w:r>
            <w:r w:rsidRPr="00DF20E0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DF20E0">
              <w:rPr>
                <w:sz w:val="22"/>
                <w:szCs w:val="22"/>
                <w:lang w:eastAsia="en-US"/>
              </w:rPr>
              <w:t>] в зависимости от этажности зданий</w:t>
            </w:r>
          </w:p>
        </w:tc>
      </w:tr>
      <w:tr w:rsidR="00DF20E0" w:rsidRPr="00DF20E0" w:rsidTr="00DF20E0">
        <w:trPr>
          <w:tblHeader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2</w:t>
            </w:r>
          </w:p>
        </w:tc>
      </w:tr>
      <w:tr w:rsidR="00DF20E0" w:rsidRPr="00DF20E0" w:rsidTr="00DF20E0">
        <w:trPr>
          <w:tblHeader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3</w:t>
            </w:r>
          </w:p>
        </w:tc>
      </w:tr>
      <w:tr w:rsidR="00DF20E0" w:rsidRPr="00DF20E0" w:rsidTr="00DF20E0">
        <w:tc>
          <w:tcPr>
            <w:tcW w:w="16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1. Жилые здания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Отапливаемая площадь зданий, м</w:t>
            </w:r>
            <w:proofErr w:type="gramStart"/>
            <w:r w:rsidRPr="00DF20E0">
              <w:rPr>
                <w:sz w:val="22"/>
                <w:vertAlign w:val="superscript"/>
                <w:lang w:eastAsia="en-US"/>
              </w:rPr>
              <w:t>2</w:t>
            </w:r>
            <w:proofErr w:type="gramEnd"/>
            <w:r w:rsidRPr="00DF20E0">
              <w:rPr>
                <w:sz w:val="22"/>
                <w:lang w:eastAsia="en-US"/>
              </w:rPr>
              <w:t>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60 и менее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82,30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–</w:t>
            </w: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73,50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79,40</w:t>
            </w: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64,70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70,50</w:t>
            </w: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250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58,80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61,70</w:t>
            </w: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400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–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52,90</w:t>
            </w: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600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–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47,00</w:t>
            </w:r>
          </w:p>
        </w:tc>
      </w:tr>
      <w:tr w:rsidR="00DF20E0" w:rsidRPr="00DF20E0" w:rsidTr="00DF20E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rPr>
                <w:sz w:val="22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1000 и 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–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F20E0">
              <w:rPr>
                <w:sz w:val="22"/>
                <w:lang w:eastAsia="en-US"/>
              </w:rPr>
              <w:t>41,20</w:t>
            </w:r>
          </w:p>
        </w:tc>
      </w:tr>
      <w:tr w:rsidR="00DF20E0" w:rsidRPr="00DF20E0" w:rsidTr="00DF20E0">
        <w:tc>
          <w:tcPr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20E0">
              <w:rPr>
                <w:rFonts w:eastAsia="Calibri"/>
                <w:sz w:val="22"/>
                <w:szCs w:val="22"/>
                <w:lang w:eastAsia="en-US"/>
              </w:rPr>
              <w:t xml:space="preserve">2. Общественные здания, </w:t>
            </w:r>
            <w:proofErr w:type="gramStart"/>
            <w:r w:rsidRPr="00DF20E0">
              <w:rPr>
                <w:rFonts w:eastAsia="Calibri"/>
                <w:sz w:val="22"/>
                <w:szCs w:val="22"/>
                <w:lang w:eastAsia="en-US"/>
              </w:rPr>
              <w:t>кроме</w:t>
            </w:r>
            <w:proofErr w:type="gramEnd"/>
            <w:r w:rsidRPr="00DF20E0">
              <w:rPr>
                <w:rFonts w:eastAsia="Calibri"/>
                <w:sz w:val="22"/>
                <w:szCs w:val="22"/>
                <w:lang w:eastAsia="en-US"/>
              </w:rPr>
              <w:t xml:space="preserve"> перечисленных в позициях 3,4 и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[24,70]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[22,30]</w:t>
            </w:r>
          </w:p>
        </w:tc>
      </w:tr>
      <w:tr w:rsidR="00DF20E0" w:rsidRPr="00DF20E0" w:rsidTr="00DF20E0">
        <w:tc>
          <w:tcPr>
            <w:tcW w:w="450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20E0">
              <w:rPr>
                <w:rFonts w:eastAsia="Calibri"/>
                <w:sz w:val="22"/>
                <w:szCs w:val="22"/>
                <w:lang w:eastAsia="en-US"/>
              </w:rPr>
              <w:t>3. Поликлиники и лечебные учреждения, дома-интернаты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[20,00]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[19,40]</w:t>
            </w:r>
          </w:p>
        </w:tc>
      </w:tr>
      <w:tr w:rsidR="00DF20E0" w:rsidRPr="00DF20E0" w:rsidTr="00DF20E0">
        <w:tc>
          <w:tcPr>
            <w:tcW w:w="45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20E0">
              <w:rPr>
                <w:rFonts w:eastAsia="Calibri"/>
                <w:sz w:val="22"/>
                <w:szCs w:val="22"/>
                <w:lang w:eastAsia="en-US"/>
              </w:rPr>
              <w:t xml:space="preserve">4. Детские сады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[26,90]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[26,90]</w:t>
            </w:r>
          </w:p>
        </w:tc>
      </w:tr>
      <w:tr w:rsidR="00DF20E0" w:rsidRPr="00DF20E0" w:rsidTr="00DF20E0">
        <w:tc>
          <w:tcPr>
            <w:tcW w:w="45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20E0">
              <w:rPr>
                <w:rFonts w:eastAsia="Calibri"/>
                <w:sz w:val="22"/>
                <w:szCs w:val="22"/>
                <w:lang w:eastAsia="en-US"/>
              </w:rPr>
              <w:t>5. Сервисного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[13,06]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20E0">
              <w:rPr>
                <w:sz w:val="22"/>
                <w:szCs w:val="22"/>
                <w:lang w:eastAsia="en-US"/>
              </w:rPr>
              <w:t>[12,50]</w:t>
            </w:r>
          </w:p>
        </w:tc>
      </w:tr>
    </w:tbl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i/>
        </w:rPr>
      </w:pPr>
      <w:r w:rsidRPr="00DF20E0">
        <w:rPr>
          <w:b/>
          <w:i/>
          <w:highlight w:val="lightGray"/>
        </w:rPr>
        <w:br w:type="page"/>
      </w:r>
      <w:r w:rsidRPr="00DF20E0">
        <w:rPr>
          <w:b/>
          <w:i/>
        </w:rPr>
        <w:lastRenderedPageBreak/>
        <w:t>1.6.3 Объекты электроснабжения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Расчётные показатели электропотребления с учетом коэффициента благоустройства населенных пунктов представлены в таблице 1.13.</w:t>
      </w:r>
    </w:p>
    <w:p w:rsidR="00DF20E0" w:rsidRPr="00DF20E0" w:rsidRDefault="00DF20E0" w:rsidP="00DF20E0">
      <w:pPr>
        <w:autoSpaceDN w:val="0"/>
        <w:spacing w:before="120" w:after="120"/>
        <w:ind w:left="709"/>
        <w:jc w:val="both"/>
        <w:rPr>
          <w:b/>
        </w:rPr>
      </w:pPr>
      <w:r w:rsidRPr="00DF20E0">
        <w:rPr>
          <w:b/>
        </w:rPr>
        <w:t>Таблица 1.13 – Расчётные показатели электропотребления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3419"/>
      </w:tblGrid>
      <w:tr w:rsidR="00DF20E0" w:rsidRPr="00DF20E0" w:rsidTr="00DF20E0">
        <w:trPr>
          <w:trHeight w:val="462"/>
          <w:jc w:val="center"/>
        </w:trPr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Степень благоустройства жилой застройки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Электропотребление, </w:t>
            </w:r>
            <w:r w:rsidRPr="00DF20E0">
              <w:rPr>
                <w:sz w:val="22"/>
                <w:szCs w:val="22"/>
              </w:rPr>
              <w:fldChar w:fldCharType="begin"/>
            </w:r>
            <w:r w:rsidRPr="00DF20E0">
              <w:rPr>
                <w:sz w:val="22"/>
                <w:szCs w:val="22"/>
              </w:rPr>
              <w:instrText xml:space="preserve"> QUOTE </w:instrText>
            </w:r>
            <w:r w:rsidR="00DD6219">
              <w:rPr>
                <w:position w:val="-2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7pt" equationxml="&lt;">
                  <v:imagedata r:id="rId7" o:title="" chromakey="white"/>
                </v:shape>
              </w:pict>
            </w:r>
            <w:r w:rsidRPr="00DF20E0">
              <w:rPr>
                <w:sz w:val="22"/>
                <w:szCs w:val="22"/>
              </w:rPr>
              <w:instrText xml:space="preserve"> </w:instrText>
            </w:r>
            <w:r w:rsidRPr="00DF20E0">
              <w:rPr>
                <w:sz w:val="22"/>
                <w:szCs w:val="22"/>
              </w:rPr>
              <w:fldChar w:fldCharType="separate"/>
            </w:r>
            <w:r w:rsidR="00DD6219">
              <w:rPr>
                <w:position w:val="-29"/>
              </w:rPr>
              <w:pict>
                <v:shape id="_x0000_i1026" type="#_x0000_t75" style="width:54pt;height:21pt" equationxml="&lt;">
                  <v:imagedata r:id="rId7" o:title="" chromakey="white"/>
                </v:shape>
              </w:pict>
            </w:r>
            <w:r w:rsidRPr="00DF20E0">
              <w:rPr>
                <w:sz w:val="22"/>
                <w:szCs w:val="22"/>
              </w:rPr>
              <w:fldChar w:fldCharType="end"/>
            </w:r>
          </w:p>
        </w:tc>
      </w:tr>
      <w:tr w:rsidR="00DF20E0" w:rsidRPr="00DF20E0" w:rsidTr="00DF20E0">
        <w:trPr>
          <w:jc w:val="center"/>
        </w:trPr>
        <w:tc>
          <w:tcPr>
            <w:tcW w:w="6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</w:tr>
      <w:tr w:rsidR="00DF20E0" w:rsidRPr="00DF20E0" w:rsidTr="00DF20E0">
        <w:trPr>
          <w:trHeight w:val="254"/>
          <w:jc w:val="center"/>
        </w:trPr>
        <w:tc>
          <w:tcPr>
            <w:tcW w:w="62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F20E0" w:rsidRPr="00DF20E0" w:rsidRDefault="00DF20E0" w:rsidP="00DF20E0">
            <w:pPr>
              <w:autoSpaceDN w:val="0"/>
              <w:jc w:val="both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 xml:space="preserve">Не </w:t>
            </w:r>
            <w:proofErr w:type="gramStart"/>
            <w:r w:rsidRPr="00DF20E0">
              <w:rPr>
                <w:sz w:val="22"/>
                <w:szCs w:val="22"/>
              </w:rPr>
              <w:t>оборудованная</w:t>
            </w:r>
            <w:proofErr w:type="gramEnd"/>
            <w:r w:rsidRPr="00DF20E0">
              <w:rPr>
                <w:sz w:val="22"/>
                <w:szCs w:val="22"/>
              </w:rPr>
              <w:t xml:space="preserve"> стационарными     электроплитами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950</w:t>
            </w:r>
          </w:p>
        </w:tc>
      </w:tr>
      <w:tr w:rsidR="00DF20E0" w:rsidRPr="00DF20E0" w:rsidTr="00DF20E0">
        <w:trPr>
          <w:trHeight w:val="287"/>
          <w:jc w:val="center"/>
        </w:trPr>
        <w:tc>
          <w:tcPr>
            <w:tcW w:w="6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20E0" w:rsidRPr="00DF20E0" w:rsidRDefault="00DF20E0" w:rsidP="00DF20E0">
            <w:pPr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DF20E0">
              <w:rPr>
                <w:sz w:val="22"/>
                <w:szCs w:val="22"/>
              </w:rPr>
              <w:t>Оборудованные</w:t>
            </w:r>
            <w:proofErr w:type="gramEnd"/>
            <w:r w:rsidRPr="00DF20E0">
              <w:rPr>
                <w:sz w:val="22"/>
                <w:szCs w:val="22"/>
              </w:rPr>
              <w:t xml:space="preserve"> стационарными электроплитами  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1350</w:t>
            </w:r>
          </w:p>
        </w:tc>
      </w:tr>
    </w:tbl>
    <w:p w:rsidR="00DF20E0" w:rsidRPr="00DF20E0" w:rsidRDefault="00DF20E0" w:rsidP="00DF20E0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b/>
          <w:i/>
        </w:rPr>
      </w:pPr>
      <w:r w:rsidRPr="00DF20E0">
        <w:rPr>
          <w:i/>
          <w:sz w:val="22"/>
          <w:szCs w:val="22"/>
        </w:rPr>
        <w:t>Примечание: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120" w:after="120"/>
        <w:ind w:firstLine="720"/>
        <w:jc w:val="both"/>
        <w:rPr>
          <w:rFonts w:eastAsia="Calibri"/>
          <w:b/>
          <w:lang w:eastAsia="en-US"/>
        </w:rPr>
      </w:pPr>
      <w:r w:rsidRPr="00DF20E0">
        <w:rPr>
          <w:b/>
          <w:i/>
        </w:rPr>
        <w:t xml:space="preserve">1.6.4 </w:t>
      </w:r>
      <w:r w:rsidRPr="00DF20E0">
        <w:rPr>
          <w:rFonts w:eastAsia="Calibri"/>
          <w:b/>
          <w:i/>
          <w:lang w:eastAsia="en-US"/>
        </w:rPr>
        <w:t>Объекты, предназначенные для сбора твердых коммунальных отходов</w:t>
      </w:r>
    </w:p>
    <w:p w:rsidR="00DF20E0" w:rsidRPr="00DF20E0" w:rsidRDefault="00DF20E0" w:rsidP="00DF20E0">
      <w:pPr>
        <w:autoSpaceDN w:val="0"/>
        <w:ind w:firstLine="709"/>
        <w:jc w:val="both"/>
        <w:outlineLvl w:val="0"/>
        <w:rPr>
          <w:rFonts w:eastAsia="Calibri"/>
          <w:b/>
          <w:bCs/>
          <w:lang w:eastAsia="en-US"/>
        </w:rPr>
      </w:pPr>
      <w:r w:rsidRPr="00DF20E0">
        <w:rPr>
          <w:rFonts w:eastAsia="Calibri"/>
        </w:rPr>
        <w:t>Максимально допустимый уровень доступности для населения до площадок под контейнеры принимается по таблице 1.14.</w:t>
      </w:r>
    </w:p>
    <w:p w:rsidR="00DF20E0" w:rsidRPr="00DF20E0" w:rsidRDefault="00DF20E0" w:rsidP="00DF20E0">
      <w:pPr>
        <w:autoSpaceDN w:val="0"/>
        <w:spacing w:before="120"/>
        <w:ind w:firstLine="567"/>
        <w:jc w:val="both"/>
        <w:rPr>
          <w:rFonts w:eastAsia="Calibri"/>
          <w:b/>
          <w:lang w:eastAsia="en-US"/>
        </w:rPr>
      </w:pPr>
      <w:r w:rsidRPr="00DF20E0">
        <w:rPr>
          <w:rFonts w:eastAsia="Calibri"/>
          <w:b/>
          <w:lang w:eastAsia="en-US"/>
        </w:rPr>
        <w:t xml:space="preserve">Таблица 1.14 – </w:t>
      </w:r>
      <w:r w:rsidRPr="00DF20E0">
        <w:rPr>
          <w:rFonts w:eastAsia="Calibri"/>
          <w:b/>
        </w:rPr>
        <w:t>Максимально допустимый уровень доступности для населения до площадок под контейнеры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2226"/>
        <w:gridCol w:w="2474"/>
      </w:tblGrid>
      <w:tr w:rsidR="00DF20E0" w:rsidRPr="00DF20E0" w:rsidTr="00DF20E0">
        <w:trPr>
          <w:cantSplit/>
          <w:trHeight w:val="194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 xml:space="preserve">Показатель </w:t>
            </w:r>
          </w:p>
        </w:tc>
      </w:tr>
      <w:tr w:rsidR="00DF20E0" w:rsidRPr="00DF20E0" w:rsidTr="00DF20E0">
        <w:trPr>
          <w:cantSplit/>
          <w:trHeight w:val="199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ind w:firstLine="34"/>
              <w:jc w:val="center"/>
              <w:rPr>
                <w:sz w:val="22"/>
                <w:szCs w:val="22"/>
              </w:rPr>
            </w:pPr>
            <w:r w:rsidRPr="00DF20E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3</w:t>
            </w:r>
          </w:p>
        </w:tc>
      </w:tr>
      <w:tr w:rsidR="00DF20E0" w:rsidRPr="00DF20E0" w:rsidTr="00DF20E0">
        <w:trPr>
          <w:cantSplit/>
          <w:trHeight w:val="216"/>
          <w:jc w:val="center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Площадки под контейнеры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0E0" w:rsidRPr="00DF20E0" w:rsidRDefault="00DF20E0" w:rsidP="00DF20E0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 w:rsidRPr="00DF20E0">
              <w:rPr>
                <w:bCs/>
                <w:sz w:val="22"/>
                <w:szCs w:val="22"/>
              </w:rPr>
              <w:t>100</w:t>
            </w:r>
          </w:p>
        </w:tc>
      </w:tr>
    </w:tbl>
    <w:p w:rsidR="00DF20E0" w:rsidRPr="00DF20E0" w:rsidRDefault="00DF20E0" w:rsidP="00DF20E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i/>
          <w:sz w:val="22"/>
          <w:szCs w:val="22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0E0">
        <w:rPr>
          <w:b/>
          <w:sz w:val="28"/>
          <w:szCs w:val="28"/>
        </w:rPr>
        <w:t>Приложения</w:t>
      </w: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ind w:firstLine="709"/>
        <w:jc w:val="right"/>
      </w:pPr>
      <w:r w:rsidRPr="00DF20E0">
        <w:rPr>
          <w:highlight w:val="lightGray"/>
        </w:rPr>
        <w:br w:type="page"/>
      </w:r>
      <w:r w:rsidRPr="00DF20E0">
        <w:lastRenderedPageBreak/>
        <w:t>Приложение 1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right"/>
      </w:pP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</w:p>
    <w:p w:rsidR="00DF20E0" w:rsidRPr="00DF20E0" w:rsidRDefault="00DF20E0" w:rsidP="00DF20E0">
      <w:pPr>
        <w:overflowPunct w:val="0"/>
        <w:autoSpaceDE w:val="0"/>
        <w:autoSpaceDN w:val="0"/>
        <w:adjustRightInd w:val="0"/>
        <w:spacing w:before="240" w:after="120"/>
        <w:ind w:firstLine="709"/>
        <w:jc w:val="center"/>
        <w:rPr>
          <w:b/>
        </w:rPr>
      </w:pPr>
      <w:r w:rsidRPr="00DF20E0">
        <w:rPr>
          <w:b/>
        </w:rPr>
        <w:t>Термины и определения</w:t>
      </w:r>
    </w:p>
    <w:p w:rsidR="00DF20E0" w:rsidRPr="00DF20E0" w:rsidRDefault="00DF20E0" w:rsidP="00DF20E0">
      <w:pPr>
        <w:overflowPunct w:val="0"/>
        <w:autoSpaceDE w:val="0"/>
        <w:autoSpaceDN w:val="0"/>
        <w:adjustRightInd w:val="0"/>
        <w:ind w:firstLine="709"/>
        <w:jc w:val="both"/>
      </w:pPr>
      <w:r w:rsidRPr="00DF20E0">
        <w:t>В настоящем документе применены следующие термины и их определения: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Местные нормативы градостроительного проектирования</w:t>
      </w:r>
      <w:r w:rsidRPr="00DF20E0">
        <w:rPr>
          <w:rFonts w:eastAsia="Calibri"/>
          <w:lang w:eastAsia="en-US"/>
        </w:rPr>
        <w:t xml:space="preserve"> – утвержденный в соответствии с Градостроительным кодексом Российской Федерации нормативный правовой акт поселения, содержащий минимальные расчетные показатели обеспечения благоприятных условий жизнедеятельности человека в отношении объектов, функционирование которых связанно с решением вопросов местного значения.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Частный жилищный фонд</w:t>
      </w:r>
      <w:r w:rsidRPr="00DF20E0">
        <w:rPr>
          <w:rFonts w:eastAsia="Calibri"/>
          <w:lang w:eastAsia="en-US"/>
        </w:rPr>
        <w:t xml:space="preserve"> – совокупность жилых помещений, находящихся в собственности граждан и в собственности юридических лиц;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Муниципальный жилищный фонд</w:t>
      </w:r>
      <w:r w:rsidRPr="00DF20E0">
        <w:rPr>
          <w:rFonts w:eastAsia="Calibri"/>
          <w:lang w:eastAsia="en-US"/>
        </w:rPr>
        <w:t xml:space="preserve"> – совокупность жилых помещений, принадлежащих на праве собственности муниципальному образованию;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Озелененные территории общего пользования</w:t>
      </w:r>
      <w:r w:rsidRPr="00DF20E0">
        <w:rPr>
          <w:rFonts w:eastAsia="Calibri"/>
          <w:lang w:eastAsia="en-US"/>
        </w:rPr>
        <w:t xml:space="preserve">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DF20E0">
        <w:rPr>
          <w:rFonts w:eastAsia="Calibri"/>
          <w:lang w:eastAsia="en-US"/>
        </w:rPr>
        <w:t>минипарки</w:t>
      </w:r>
      <w:proofErr w:type="spellEnd"/>
      <w:r w:rsidRPr="00DF20E0">
        <w:rPr>
          <w:rFonts w:eastAsia="Calibri"/>
          <w:lang w:eastAsia="en-US"/>
        </w:rPr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Место массового отдыха</w:t>
      </w:r>
      <w:r w:rsidRPr="00DF20E0">
        <w:rPr>
          <w:rFonts w:eastAsia="Calibri"/>
          <w:lang w:eastAsia="en-US"/>
        </w:rPr>
        <w:t xml:space="preserve">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Зона массового кратковременного отдыха</w:t>
      </w:r>
      <w:r w:rsidRPr="00DF20E0">
        <w:rPr>
          <w:rFonts w:eastAsia="Calibri"/>
          <w:lang w:eastAsia="en-US"/>
        </w:rPr>
        <w:t xml:space="preserve"> – территория, предназначенная для организованного отдыха людей, включающая в себя интенсивно используемую часть с размещением объектов и неинтенсивно используемую часть без размещения капитальных объектов.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proofErr w:type="gramStart"/>
      <w:r w:rsidRPr="00DF20E0">
        <w:rPr>
          <w:rFonts w:eastAsia="Calibri"/>
          <w:b/>
          <w:lang w:eastAsia="en-US"/>
        </w:rPr>
        <w:t>Автомобильная дорога (дорога)</w:t>
      </w:r>
      <w:r w:rsidRPr="00DF20E0">
        <w:rPr>
          <w:rFonts w:eastAsia="Calibri"/>
          <w:lang w:eastAsia="en-US"/>
        </w:rPr>
        <w:t xml:space="preserve"> – часть территории населенных пунктов поселения, определяемая в соответствии с абзацем восьмым статьи 2 Федерального закона от 10 декабря 1995 г. № 196-ФЗ «О безопасности дорожного движения», пунктом 1 статьи 3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DF20E0">
        <w:rPr>
          <w:rFonts w:eastAsia="Calibri"/>
          <w:lang w:eastAsia="en-US"/>
        </w:rPr>
        <w:t>» – территория, находящаяся в границах полос отвода - красных линий, которые в соответствии с пунктом 11 статьи 1 Градостроительного кодекса Российской Федерации обозначают существующие, планируемые (изменяемые, вновь образуемые) границы земельных участков расположения дороги, предназначенной для движения в соответствующих случаях автомобилей, общественного транспорта, пешеходов.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инфраструктуры, а также для устройства инженерных коммуникаций, включая устройство линий электропередачи, линий связи (подземных и надземных);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r w:rsidRPr="00DF20E0">
        <w:rPr>
          <w:rFonts w:eastAsia="Calibri"/>
          <w:b/>
          <w:lang w:eastAsia="en-US"/>
        </w:rPr>
        <w:t>Улица</w:t>
      </w:r>
      <w:r w:rsidRPr="00DF20E0">
        <w:rPr>
          <w:rFonts w:eastAsia="Calibri"/>
          <w:lang w:eastAsia="en-US"/>
        </w:rPr>
        <w:t xml:space="preserve"> – дорога, расположенная в пределах функциональных зон застроенных территорий населенных пунктов, </w:t>
      </w:r>
      <w:proofErr w:type="gramStart"/>
      <w:r w:rsidRPr="00DF20E0">
        <w:rPr>
          <w:rFonts w:eastAsia="Calibri"/>
          <w:lang w:eastAsia="en-US"/>
        </w:rPr>
        <w:t>границы</w:t>
      </w:r>
      <w:proofErr w:type="gramEnd"/>
      <w:r w:rsidRPr="00DF20E0">
        <w:rPr>
          <w:rFonts w:eastAsia="Calibri"/>
          <w:lang w:eastAsia="en-US"/>
        </w:rPr>
        <w:t xml:space="preserve"> которой в виде красных линий являются одновременно границами элементов планировочной структуры – кварталов;</w:t>
      </w:r>
    </w:p>
    <w:p w:rsidR="00DF20E0" w:rsidRPr="00DF20E0" w:rsidRDefault="00DF20E0" w:rsidP="00DF20E0">
      <w:pPr>
        <w:autoSpaceDN w:val="0"/>
        <w:ind w:firstLine="709"/>
        <w:jc w:val="both"/>
        <w:rPr>
          <w:rFonts w:eastAsia="Calibri"/>
          <w:lang w:eastAsia="en-US"/>
        </w:rPr>
      </w:pPr>
      <w:proofErr w:type="gramStart"/>
      <w:r w:rsidRPr="00DF20E0">
        <w:rPr>
          <w:rFonts w:eastAsia="Calibri"/>
          <w:b/>
          <w:lang w:eastAsia="en-US"/>
        </w:rPr>
        <w:t>Проезды</w:t>
      </w:r>
      <w:r w:rsidRPr="00DF20E0">
        <w:rPr>
          <w:rFonts w:eastAsia="Calibri"/>
          <w:lang w:eastAsia="en-US"/>
        </w:rPr>
        <w:t xml:space="preserve"> – подъезды со сквозным движением (когда место выезда не совпадает с местом въезда) через квартал, создание которых допускается в исключительных случаях только для автомобилей специального назначения, когда в сложившейся застройке невозможно создать, оборудовать улицы;</w:t>
      </w:r>
      <w:proofErr w:type="gramEnd"/>
    </w:p>
    <w:p w:rsidR="00DF20E0" w:rsidRPr="00DF20E0" w:rsidRDefault="00DF20E0" w:rsidP="00DF20E0">
      <w:pPr>
        <w:widowControl w:val="0"/>
        <w:autoSpaceDE w:val="0"/>
        <w:autoSpaceDN w:val="0"/>
        <w:adjustRightInd w:val="0"/>
        <w:ind w:firstLine="709"/>
        <w:jc w:val="both"/>
      </w:pPr>
      <w:r w:rsidRPr="00DF20E0">
        <w:rPr>
          <w:b/>
        </w:rPr>
        <w:t>Протяженность сети автомобильных дорог общего пользования</w:t>
      </w:r>
      <w:r w:rsidRPr="00DF20E0">
        <w:t xml:space="preserve"> – суммарная протяженность участков автомобильных дорог, образующих сеть автомобильных дорог общего пользования;</w:t>
      </w:r>
    </w:p>
    <w:p w:rsidR="00DF20E0" w:rsidRPr="00DF20E0" w:rsidRDefault="00DF20E0" w:rsidP="00DF20E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DF20E0" w:rsidRPr="00DF20E0" w:rsidRDefault="00DF20E0" w:rsidP="00DF20E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F20E0">
        <w:rPr>
          <w:b/>
        </w:rPr>
        <w:lastRenderedPageBreak/>
        <w:t>Красные линии</w:t>
      </w:r>
      <w:r w:rsidRPr="00DF20E0"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  <w:proofErr w:type="gramEnd"/>
    </w:p>
    <w:p w:rsidR="00DF20E0" w:rsidRPr="00DF20E0" w:rsidRDefault="00DF20E0" w:rsidP="00DF20E0">
      <w:pPr>
        <w:autoSpaceDN w:val="0"/>
        <w:ind w:firstLine="709"/>
        <w:jc w:val="both"/>
        <w:rPr>
          <w:b/>
        </w:rPr>
      </w:pPr>
      <w:r w:rsidRPr="00DF20E0">
        <w:rPr>
          <w:b/>
        </w:rPr>
        <w:t xml:space="preserve">Остановка общественного транспорта – </w:t>
      </w:r>
      <w:r w:rsidRPr="00DF20E0">
        <w:t>специально отведённая территория, предназначенная для посадки/высадки пассажиров общественного транспорта.</w:t>
      </w:r>
    </w:p>
    <w:p w:rsidR="00DF20E0" w:rsidRPr="00DF20E0" w:rsidRDefault="00DF20E0" w:rsidP="00DF20E0">
      <w:pPr>
        <w:autoSpaceDN w:val="0"/>
        <w:ind w:firstLine="709"/>
        <w:jc w:val="both"/>
      </w:pPr>
      <w:r w:rsidRPr="00DF20E0">
        <w:rPr>
          <w:b/>
        </w:rPr>
        <w:t>Хранение</w:t>
      </w:r>
      <w:r w:rsidRPr="00DF20E0">
        <w:t xml:space="preserve"> – пребывание автотранспортных средств, принадлежащих постоянному населению, по месту регистрации автотранспортных средств.</w:t>
      </w:r>
    </w:p>
    <w:p w:rsidR="00DF20E0" w:rsidRPr="00DF20E0" w:rsidRDefault="00DF20E0" w:rsidP="00DF20E0">
      <w:pPr>
        <w:autoSpaceDN w:val="0"/>
        <w:ind w:firstLine="709"/>
        <w:jc w:val="both"/>
      </w:pPr>
      <w:proofErr w:type="spellStart"/>
      <w:r w:rsidRPr="00DF20E0">
        <w:rPr>
          <w:b/>
        </w:rPr>
        <w:t>Паркирование</w:t>
      </w:r>
      <w:proofErr w:type="spellEnd"/>
      <w:r w:rsidRPr="00DF20E0">
        <w:t xml:space="preserve"> – временное пребывание на стоянках автотранспортных средств, принадлежащих посетителям объектов различного функционального назначения.</w:t>
      </w:r>
    </w:p>
    <w:p w:rsidR="00DF20E0" w:rsidRPr="00DF20E0" w:rsidRDefault="00DF20E0" w:rsidP="00DF20E0">
      <w:pPr>
        <w:autoSpaceDN w:val="0"/>
        <w:ind w:firstLine="709"/>
        <w:jc w:val="both"/>
      </w:pPr>
      <w:r w:rsidRPr="00DF20E0">
        <w:rPr>
          <w:b/>
        </w:rPr>
        <w:t>Автостоянки</w:t>
      </w:r>
      <w:r w:rsidRPr="00DF20E0">
        <w:t xml:space="preserve"> – открытые площадки, предназначенные для хранения или </w:t>
      </w:r>
      <w:proofErr w:type="spellStart"/>
      <w:r w:rsidRPr="00DF20E0">
        <w:t>паркирования</w:t>
      </w:r>
      <w:proofErr w:type="spellEnd"/>
      <w:r w:rsidRPr="00DF20E0">
        <w:t xml:space="preserve"> автомобилей. Автостоянки для хранения могут быть оборудованы навесами, легкими ограждениями боксов, смотровыми эстакадами. </w:t>
      </w:r>
      <w:proofErr w:type="gramStart"/>
      <w:r w:rsidRPr="00DF20E0">
        <w:t>Автостоянки могут устраиваться внеуличными (в виде карманов, отступающих от проезжей части, и др.) либо уличными (в виде "парковок" на проезжей части, обозначенных разметкой).</w:t>
      </w:r>
      <w:proofErr w:type="gramEnd"/>
    </w:p>
    <w:p w:rsidR="00DF20E0" w:rsidRPr="00DF20E0" w:rsidRDefault="00DF20E0" w:rsidP="00DF20E0">
      <w:pPr>
        <w:autoSpaceDN w:val="0"/>
        <w:ind w:firstLine="709"/>
        <w:jc w:val="both"/>
      </w:pPr>
      <w:r w:rsidRPr="00DF20E0">
        <w:rPr>
          <w:b/>
        </w:rPr>
        <w:t>Транспортная услуга</w:t>
      </w:r>
      <w:r w:rsidRPr="00DF20E0">
        <w:t xml:space="preserve"> – результат деятельности исполнителя транспортной услуги по удовлетворению потребностей пассажира, грузоотправителя и грузополучателя в перевозках в соответствии с установленными нормами и требованиями;</w:t>
      </w:r>
    </w:p>
    <w:p w:rsidR="00DF20E0" w:rsidRPr="00DF20E0" w:rsidRDefault="00DF20E0" w:rsidP="00DF20E0">
      <w:pPr>
        <w:suppressAutoHyphens/>
        <w:overflowPunct w:val="0"/>
        <w:autoSpaceDE w:val="0"/>
        <w:autoSpaceDN w:val="0"/>
        <w:adjustRightInd w:val="0"/>
        <w:ind w:firstLine="709"/>
        <w:jc w:val="both"/>
        <w:sectPr w:rsidR="00DF20E0" w:rsidRPr="00DF20E0">
          <w:pgSz w:w="11906" w:h="16838"/>
          <w:pgMar w:top="680" w:right="566" w:bottom="1440" w:left="1701" w:header="284" w:footer="284" w:gutter="0"/>
          <w:pgNumType w:start="4"/>
          <w:cols w:space="720"/>
        </w:sectPr>
      </w:pPr>
      <w:r w:rsidRPr="00DF20E0">
        <w:rPr>
          <w:b/>
        </w:rPr>
        <w:t>Транспортное обслуживание</w:t>
      </w:r>
      <w:r w:rsidRPr="00DF20E0">
        <w:t xml:space="preserve"> – процесс предоставления транспортных услуг потребителям, в соответствии с устано</w:t>
      </w:r>
      <w:r>
        <w:t>вленными нормами и требованиями</w:t>
      </w:r>
      <w:r w:rsidR="00FD4BD1">
        <w:t>.</w:t>
      </w:r>
    </w:p>
    <w:p w:rsidR="00F06525" w:rsidRDefault="00F06525" w:rsidP="000E2F08"/>
    <w:sectPr w:rsidR="00F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D26"/>
    <w:multiLevelType w:val="hybridMultilevel"/>
    <w:tmpl w:val="287EEFD0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C1DEB"/>
    <w:multiLevelType w:val="hybridMultilevel"/>
    <w:tmpl w:val="E67E12B8"/>
    <w:lvl w:ilvl="0" w:tplc="AC94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24"/>
    <w:rsid w:val="000B4824"/>
    <w:rsid w:val="000E2F08"/>
    <w:rsid w:val="002569BE"/>
    <w:rsid w:val="005C1848"/>
    <w:rsid w:val="00702455"/>
    <w:rsid w:val="007B79B9"/>
    <w:rsid w:val="008A02FB"/>
    <w:rsid w:val="00A62E86"/>
    <w:rsid w:val="00DD6219"/>
    <w:rsid w:val="00DF20E0"/>
    <w:rsid w:val="00F06525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2017-11-10T07:54:00Z</dcterms:created>
  <dcterms:modified xsi:type="dcterms:W3CDTF">2017-11-22T07:56:00Z</dcterms:modified>
</cp:coreProperties>
</file>